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7CB" w:rsidRPr="0053189F" w:rsidRDefault="00FA07CB" w:rsidP="0053189F">
      <w:pPr>
        <w:jc w:val="right"/>
        <w:rPr>
          <w:rFonts w:cs="David"/>
        </w:rPr>
      </w:pPr>
      <w:bookmarkStart w:id="0" w:name="_GoBack"/>
      <w:bookmarkEnd w:id="0"/>
      <w:r w:rsidRPr="0053189F">
        <w:rPr>
          <w:rFonts w:cs="David"/>
        </w:rPr>
        <w:t>2\44368</w:t>
      </w:r>
    </w:p>
    <w:p w:rsidR="00FE50A6" w:rsidRPr="00D274CD" w:rsidRDefault="00FE50A6" w:rsidP="00E52084">
      <w:pPr>
        <w:rPr>
          <w:rFonts w:cs="David"/>
        </w:rPr>
      </w:pPr>
    </w:p>
    <w:p w:rsidR="00FE50A6" w:rsidRDefault="003B6EDD" w:rsidP="00D274CD">
      <w:pPr>
        <w:jc w:val="center"/>
        <w:rPr>
          <w:rFonts w:cs="David"/>
          <w:b/>
          <w:bCs/>
          <w:u w:val="single"/>
        </w:rPr>
      </w:pPr>
      <w:r>
        <w:rPr>
          <w:rFonts w:cs="David"/>
          <w:b/>
          <w:bCs/>
          <w:u w:val="single"/>
        </w:rPr>
        <w:t>FAILURE TO COMPLY WITH MEASURES TO REDUCE THE RISK</w:t>
      </w:r>
    </w:p>
    <w:p w:rsidR="003B6EDD" w:rsidRDefault="003B6EDD" w:rsidP="00D274CD">
      <w:pPr>
        <w:jc w:val="center"/>
        <w:rPr>
          <w:rFonts w:cs="David"/>
          <w:b/>
          <w:bCs/>
          <w:u w:val="single"/>
        </w:rPr>
      </w:pPr>
    </w:p>
    <w:p w:rsidR="003B6EDD" w:rsidRDefault="003B6EDD" w:rsidP="00D274CD">
      <w:pPr>
        <w:jc w:val="center"/>
        <w:rPr>
          <w:rFonts w:cs="David"/>
          <w:b/>
          <w:bCs/>
          <w:u w:val="single"/>
        </w:rPr>
      </w:pPr>
      <w:r>
        <w:rPr>
          <w:rFonts w:cs="David"/>
          <w:b/>
          <w:bCs/>
          <w:u w:val="single"/>
        </w:rPr>
        <w:t xml:space="preserve">WILL INSURERS BE </w:t>
      </w:r>
      <w:proofErr w:type="gramStart"/>
      <w:r>
        <w:rPr>
          <w:rFonts w:cs="David"/>
          <w:b/>
          <w:bCs/>
          <w:u w:val="single"/>
        </w:rPr>
        <w:t>EXEMPT</w:t>
      </w:r>
      <w:proofErr w:type="gramEnd"/>
      <w:r>
        <w:rPr>
          <w:rFonts w:cs="David"/>
          <w:b/>
          <w:bCs/>
          <w:u w:val="single"/>
        </w:rPr>
        <w:t xml:space="preserve"> FROM LIABILITY?</w:t>
      </w:r>
    </w:p>
    <w:p w:rsidR="003B6EDD" w:rsidRDefault="003B6EDD" w:rsidP="00D274CD">
      <w:pPr>
        <w:jc w:val="center"/>
        <w:rPr>
          <w:rFonts w:cs="David"/>
          <w:b/>
          <w:bCs/>
          <w:u w:val="single"/>
        </w:rPr>
      </w:pPr>
    </w:p>
    <w:p w:rsidR="003B6EDD" w:rsidRDefault="003B6EDD" w:rsidP="00E52084">
      <w:pPr>
        <w:rPr>
          <w:rFonts w:cs="David"/>
          <w:b/>
          <w:bCs/>
        </w:rPr>
      </w:pPr>
      <w:r>
        <w:rPr>
          <w:rFonts w:cs="David"/>
          <w:b/>
          <w:bCs/>
        </w:rPr>
        <w:tab/>
      </w:r>
      <w:r>
        <w:rPr>
          <w:rFonts w:cs="David"/>
          <w:b/>
          <w:bCs/>
        </w:rPr>
        <w:tab/>
      </w:r>
      <w:r>
        <w:rPr>
          <w:rFonts w:cs="David"/>
          <w:b/>
          <w:bCs/>
        </w:rPr>
        <w:tab/>
      </w:r>
      <w:r>
        <w:rPr>
          <w:rFonts w:cs="David"/>
          <w:b/>
          <w:bCs/>
        </w:rPr>
        <w:tab/>
        <w:t>Sharon Shefer, Adv.</w:t>
      </w:r>
    </w:p>
    <w:p w:rsidR="00D274CD" w:rsidRDefault="0053189F" w:rsidP="00D274CD">
      <w:pPr>
        <w:jc w:val="center"/>
        <w:rPr>
          <w:rFonts w:cs="David"/>
          <w:b/>
          <w:bCs/>
        </w:rPr>
      </w:pPr>
      <w:r>
        <w:rPr>
          <w:rFonts w:cs="David"/>
          <w:b/>
          <w:bCs/>
        </w:rPr>
        <w:t xml:space="preserve">Levitan, Sharon &amp; Co., </w:t>
      </w:r>
      <w:r w:rsidR="000711DB">
        <w:rPr>
          <w:rFonts w:cs="David"/>
          <w:b/>
          <w:bCs/>
        </w:rPr>
        <w:t xml:space="preserve">Tel Aviv, </w:t>
      </w:r>
      <w:r w:rsidR="00D274CD">
        <w:rPr>
          <w:rFonts w:cs="David"/>
          <w:b/>
          <w:bCs/>
        </w:rPr>
        <w:t>Israel</w:t>
      </w:r>
    </w:p>
    <w:p w:rsidR="003B6EDD" w:rsidRDefault="003B6EDD" w:rsidP="00E52084">
      <w:pPr>
        <w:rPr>
          <w:rFonts w:cs="David"/>
          <w:b/>
          <w:bCs/>
        </w:rPr>
      </w:pPr>
      <w:r>
        <w:rPr>
          <w:rFonts w:cs="David"/>
          <w:b/>
          <w:bCs/>
        </w:rPr>
        <w:tab/>
      </w:r>
      <w:r>
        <w:rPr>
          <w:rFonts w:cs="David"/>
          <w:b/>
          <w:bCs/>
        </w:rPr>
        <w:tab/>
      </w:r>
      <w:r>
        <w:rPr>
          <w:rFonts w:cs="David"/>
          <w:b/>
          <w:bCs/>
        </w:rPr>
        <w:tab/>
      </w:r>
      <w:r>
        <w:rPr>
          <w:rFonts w:cs="David"/>
          <w:b/>
          <w:bCs/>
        </w:rPr>
        <w:tab/>
      </w:r>
    </w:p>
    <w:p w:rsidR="003B6EDD" w:rsidRDefault="003B6EDD" w:rsidP="00E52084">
      <w:pPr>
        <w:rPr>
          <w:rFonts w:cs="David"/>
          <w:b/>
          <w:bCs/>
        </w:rPr>
      </w:pPr>
    </w:p>
    <w:p w:rsidR="003B6EDD" w:rsidRDefault="003B6EDD" w:rsidP="004804B0">
      <w:pPr>
        <w:rPr>
          <w:rFonts w:cs="David"/>
        </w:rPr>
      </w:pPr>
      <w:r>
        <w:rPr>
          <w:rFonts w:cs="David"/>
        </w:rPr>
        <w:t xml:space="preserve">In a Supreme Court </w:t>
      </w:r>
      <w:r w:rsidR="0054634A">
        <w:rPr>
          <w:rFonts w:cs="David"/>
        </w:rPr>
        <w:t>decision</w:t>
      </w:r>
      <w:r w:rsidR="00DB0F24">
        <w:rPr>
          <w:rFonts w:cs="David"/>
        </w:rPr>
        <w:t xml:space="preserve"> handed down </w:t>
      </w:r>
      <w:r w:rsidR="0053189F">
        <w:rPr>
          <w:rFonts w:cs="David"/>
        </w:rPr>
        <w:t xml:space="preserve">on </w:t>
      </w:r>
      <w:r w:rsidR="004F7663">
        <w:rPr>
          <w:rFonts w:cs="David"/>
        </w:rPr>
        <w:t>15</w:t>
      </w:r>
      <w:r w:rsidR="0053189F" w:rsidRPr="0053189F">
        <w:rPr>
          <w:rFonts w:cs="David"/>
          <w:vertAlign w:val="superscript"/>
        </w:rPr>
        <w:t>th</w:t>
      </w:r>
      <w:r w:rsidR="0053189F">
        <w:rPr>
          <w:rFonts w:cs="David"/>
        </w:rPr>
        <w:t xml:space="preserve"> </w:t>
      </w:r>
      <w:r w:rsidR="004F7663">
        <w:rPr>
          <w:rFonts w:cs="David"/>
        </w:rPr>
        <w:t>September</w:t>
      </w:r>
      <w:r w:rsidR="0053189F">
        <w:rPr>
          <w:rFonts w:cs="David"/>
        </w:rPr>
        <w:t xml:space="preserve"> 20</w:t>
      </w:r>
      <w:r w:rsidR="004804B0">
        <w:rPr>
          <w:rFonts w:cs="David"/>
        </w:rPr>
        <w:t>13</w:t>
      </w:r>
      <w:r w:rsidR="0053189F">
        <w:rPr>
          <w:rStyle w:val="FootnoteReference"/>
          <w:rFonts w:cs="David"/>
        </w:rPr>
        <w:footnoteReference w:id="1"/>
      </w:r>
      <w:r w:rsidR="00280E89">
        <w:rPr>
          <w:rFonts w:cs="David"/>
        </w:rPr>
        <w:t xml:space="preserve"> which serves as a precedent</w:t>
      </w:r>
      <w:r w:rsidR="0054634A">
        <w:rPr>
          <w:rFonts w:cs="David"/>
        </w:rPr>
        <w:t xml:space="preserve">, </w:t>
      </w:r>
      <w:r>
        <w:rPr>
          <w:rFonts w:cs="David"/>
        </w:rPr>
        <w:t xml:space="preserve">judges ruled on one of the most </w:t>
      </w:r>
      <w:r w:rsidR="0053189F">
        <w:rPr>
          <w:rFonts w:cs="David"/>
        </w:rPr>
        <w:t>repeated</w:t>
      </w:r>
      <w:r>
        <w:rPr>
          <w:rFonts w:cs="David"/>
        </w:rPr>
        <w:t xml:space="preserve"> disputes </w:t>
      </w:r>
      <w:r w:rsidR="00574BC6">
        <w:rPr>
          <w:rFonts w:cs="David"/>
        </w:rPr>
        <w:t>which</w:t>
      </w:r>
      <w:r>
        <w:rPr>
          <w:rFonts w:cs="David"/>
        </w:rPr>
        <w:t xml:space="preserve"> the lower Courts have dealt with in the past few years</w:t>
      </w:r>
      <w:r w:rsidR="0053189F">
        <w:rPr>
          <w:rFonts w:cs="David"/>
        </w:rPr>
        <w:t>,</w:t>
      </w:r>
      <w:r w:rsidR="0054634A">
        <w:rPr>
          <w:rFonts w:cs="David"/>
        </w:rPr>
        <w:t xml:space="preserve"> i.e. whether </w:t>
      </w:r>
      <w:r w:rsidR="0053189F">
        <w:rPr>
          <w:rFonts w:cs="David"/>
        </w:rPr>
        <w:t xml:space="preserve">the Insurer can avoid liability </w:t>
      </w:r>
      <w:r w:rsidR="0054634A">
        <w:rPr>
          <w:rFonts w:cs="David"/>
        </w:rPr>
        <w:t xml:space="preserve">in </w:t>
      </w:r>
      <w:r w:rsidR="00DB0F24">
        <w:rPr>
          <w:rFonts w:cs="David"/>
        </w:rPr>
        <w:t>the event</w:t>
      </w:r>
      <w:r w:rsidR="0054634A">
        <w:rPr>
          <w:rFonts w:cs="David"/>
        </w:rPr>
        <w:t xml:space="preserve"> the </w:t>
      </w:r>
      <w:r w:rsidR="00DB0F24">
        <w:rPr>
          <w:rFonts w:cs="David"/>
        </w:rPr>
        <w:t>Insured</w:t>
      </w:r>
      <w:r w:rsidR="0054634A">
        <w:rPr>
          <w:rFonts w:cs="David"/>
        </w:rPr>
        <w:t xml:space="preserve"> o</w:t>
      </w:r>
      <w:r w:rsidR="00280E89">
        <w:rPr>
          <w:rFonts w:cs="David"/>
        </w:rPr>
        <w:t>verlooks</w:t>
      </w:r>
      <w:r w:rsidR="0053189F">
        <w:rPr>
          <w:rFonts w:cs="David"/>
        </w:rPr>
        <w:t xml:space="preserve"> a condition </w:t>
      </w:r>
      <w:r w:rsidR="00280E89">
        <w:rPr>
          <w:rFonts w:cs="David"/>
        </w:rPr>
        <w:t xml:space="preserve">to apply security measures </w:t>
      </w:r>
      <w:r w:rsidR="0053189F">
        <w:rPr>
          <w:rFonts w:cs="David"/>
        </w:rPr>
        <w:t>set in the policy.</w:t>
      </w:r>
    </w:p>
    <w:p w:rsidR="003B6EDD" w:rsidRDefault="003B6EDD" w:rsidP="00E52084">
      <w:pPr>
        <w:rPr>
          <w:rFonts w:cs="David"/>
        </w:rPr>
      </w:pPr>
    </w:p>
    <w:p w:rsidR="003B6EDD" w:rsidRDefault="003B6EDD" w:rsidP="000A21B5">
      <w:pPr>
        <w:rPr>
          <w:rFonts w:cs="David"/>
        </w:rPr>
      </w:pPr>
      <w:r>
        <w:rPr>
          <w:rFonts w:cs="David"/>
        </w:rPr>
        <w:t xml:space="preserve">The circumstances of the insured event were simple – Mr. </w:t>
      </w:r>
      <w:proofErr w:type="spellStart"/>
      <w:r>
        <w:rPr>
          <w:rFonts w:cs="David"/>
        </w:rPr>
        <w:t>Slutzky</w:t>
      </w:r>
      <w:proofErr w:type="spellEnd"/>
      <w:r>
        <w:rPr>
          <w:rFonts w:cs="David"/>
        </w:rPr>
        <w:t xml:space="preserve"> purchased </w:t>
      </w:r>
      <w:r w:rsidR="0053189F">
        <w:rPr>
          <w:rFonts w:cs="David"/>
        </w:rPr>
        <w:t>a c</w:t>
      </w:r>
      <w:r w:rsidR="00574BC6">
        <w:rPr>
          <w:rFonts w:cs="David"/>
        </w:rPr>
        <w:t xml:space="preserve">omprehensive </w:t>
      </w:r>
      <w:r w:rsidR="0053189F">
        <w:rPr>
          <w:rFonts w:cs="David"/>
        </w:rPr>
        <w:t>h</w:t>
      </w:r>
      <w:r>
        <w:rPr>
          <w:rFonts w:cs="David"/>
        </w:rPr>
        <w:t xml:space="preserve">ousehold insurance policy which included cover for his </w:t>
      </w:r>
      <w:proofErr w:type="spellStart"/>
      <w:r>
        <w:rPr>
          <w:rFonts w:cs="David"/>
        </w:rPr>
        <w:t>j</w:t>
      </w:r>
      <w:r w:rsidR="0053189F">
        <w:rPr>
          <w:rFonts w:cs="David"/>
        </w:rPr>
        <w:t>ewellery</w:t>
      </w:r>
      <w:proofErr w:type="spellEnd"/>
      <w:r w:rsidR="0053189F">
        <w:rPr>
          <w:rFonts w:cs="David"/>
        </w:rPr>
        <w:t xml:space="preserve">, worth approximately </w:t>
      </w:r>
      <w:r>
        <w:rPr>
          <w:rFonts w:cs="David"/>
        </w:rPr>
        <w:t>$80,000</w:t>
      </w:r>
      <w:r w:rsidR="0053189F">
        <w:rPr>
          <w:rFonts w:cs="David"/>
        </w:rPr>
        <w:t>.</w:t>
      </w:r>
      <w:r>
        <w:rPr>
          <w:rFonts w:cs="David"/>
        </w:rPr>
        <w:t xml:space="preserve"> </w:t>
      </w:r>
      <w:r w:rsidR="0053189F">
        <w:rPr>
          <w:rFonts w:cs="David"/>
        </w:rPr>
        <w:t>As</w:t>
      </w:r>
      <w:r w:rsidR="0054634A">
        <w:rPr>
          <w:rFonts w:cs="David"/>
        </w:rPr>
        <w:t xml:space="preserve"> </w:t>
      </w:r>
      <w:r w:rsidR="00280E89">
        <w:rPr>
          <w:rFonts w:cs="David"/>
        </w:rPr>
        <w:t xml:space="preserve">a condition to </w:t>
      </w:r>
      <w:r w:rsidR="0054634A">
        <w:rPr>
          <w:rFonts w:cs="David"/>
        </w:rPr>
        <w:t>Insurer’s liability</w:t>
      </w:r>
      <w:r w:rsidR="0053189F">
        <w:rPr>
          <w:rFonts w:cs="David"/>
        </w:rPr>
        <w:t>,</w:t>
      </w:r>
      <w:r w:rsidR="0054634A">
        <w:rPr>
          <w:rFonts w:cs="David"/>
        </w:rPr>
        <w:t xml:space="preserve"> the policy stipulated that the </w:t>
      </w:r>
      <w:proofErr w:type="spellStart"/>
      <w:r w:rsidR="0054634A">
        <w:rPr>
          <w:rFonts w:cs="David"/>
        </w:rPr>
        <w:t>jewellery</w:t>
      </w:r>
      <w:proofErr w:type="spellEnd"/>
      <w:r w:rsidR="0054634A">
        <w:rPr>
          <w:rFonts w:cs="David"/>
        </w:rPr>
        <w:t xml:space="preserve"> must be kept</w:t>
      </w:r>
      <w:r w:rsidR="0053189F">
        <w:rPr>
          <w:rFonts w:cs="David"/>
        </w:rPr>
        <w:t xml:space="preserve"> in the safe while at </w:t>
      </w:r>
      <w:r w:rsidR="0054634A">
        <w:rPr>
          <w:rFonts w:cs="David"/>
        </w:rPr>
        <w:t>home</w:t>
      </w:r>
      <w:r>
        <w:rPr>
          <w:rFonts w:cs="David"/>
        </w:rPr>
        <w:t>. On the da</w:t>
      </w:r>
      <w:r w:rsidR="00574BC6">
        <w:rPr>
          <w:rFonts w:cs="David"/>
        </w:rPr>
        <w:t>te of</w:t>
      </w:r>
      <w:r>
        <w:rPr>
          <w:rFonts w:cs="David"/>
        </w:rPr>
        <w:t xml:space="preserve"> the burglary</w:t>
      </w:r>
      <w:r w:rsidR="0053189F">
        <w:rPr>
          <w:rFonts w:cs="David"/>
        </w:rPr>
        <w:t>,</w:t>
      </w:r>
      <w:r>
        <w:rPr>
          <w:rFonts w:cs="David"/>
        </w:rPr>
        <w:t xml:space="preserve"> the </w:t>
      </w:r>
      <w:r w:rsidR="00574BC6">
        <w:rPr>
          <w:rFonts w:cs="David"/>
        </w:rPr>
        <w:t xml:space="preserve">said </w:t>
      </w:r>
      <w:proofErr w:type="spellStart"/>
      <w:r w:rsidR="0054634A">
        <w:rPr>
          <w:rFonts w:cs="David"/>
        </w:rPr>
        <w:t>jewellery</w:t>
      </w:r>
      <w:proofErr w:type="spellEnd"/>
      <w:r w:rsidR="0054634A">
        <w:rPr>
          <w:rFonts w:cs="David"/>
        </w:rPr>
        <w:t xml:space="preserve"> was actually held </w:t>
      </w:r>
      <w:r>
        <w:rPr>
          <w:rFonts w:cs="David"/>
        </w:rPr>
        <w:t xml:space="preserve">in a drawer, but not in the safe, and it was taken by the burglars. </w:t>
      </w:r>
      <w:r w:rsidR="0054634A">
        <w:rPr>
          <w:rFonts w:cs="David"/>
        </w:rPr>
        <w:t>The burglars did not</w:t>
      </w:r>
      <w:r w:rsidR="0053189F">
        <w:rPr>
          <w:rFonts w:cs="David"/>
        </w:rPr>
        <w:t xml:space="preserve"> attempt to force open the safe at all.</w:t>
      </w:r>
    </w:p>
    <w:p w:rsidR="003B6EDD" w:rsidRDefault="003B6EDD" w:rsidP="003B6EDD">
      <w:pPr>
        <w:rPr>
          <w:rFonts w:cs="David"/>
        </w:rPr>
      </w:pPr>
    </w:p>
    <w:p w:rsidR="003B6EDD" w:rsidRDefault="003B6EDD" w:rsidP="000A21B5">
      <w:pPr>
        <w:rPr>
          <w:rFonts w:cs="David"/>
        </w:rPr>
      </w:pPr>
      <w:r>
        <w:rPr>
          <w:rFonts w:cs="David"/>
        </w:rPr>
        <w:t xml:space="preserve">There was no dispute that the </w:t>
      </w:r>
      <w:r w:rsidR="0053189F">
        <w:rPr>
          <w:rFonts w:cs="David"/>
        </w:rPr>
        <w:t>I</w:t>
      </w:r>
      <w:r>
        <w:rPr>
          <w:rFonts w:cs="David"/>
        </w:rPr>
        <w:t xml:space="preserve">nsured failed to comply with the </w:t>
      </w:r>
      <w:r w:rsidR="000A21B5">
        <w:rPr>
          <w:rFonts w:cs="David"/>
        </w:rPr>
        <w:t xml:space="preserve">security </w:t>
      </w:r>
      <w:r>
        <w:rPr>
          <w:rFonts w:cs="David"/>
        </w:rPr>
        <w:t xml:space="preserve">measures </w:t>
      </w:r>
      <w:r w:rsidR="0054634A">
        <w:rPr>
          <w:rFonts w:cs="David"/>
        </w:rPr>
        <w:t>demanded</w:t>
      </w:r>
      <w:r>
        <w:rPr>
          <w:rFonts w:cs="David"/>
        </w:rPr>
        <w:t xml:space="preserve"> by his </w:t>
      </w:r>
      <w:r w:rsidR="0053189F">
        <w:rPr>
          <w:rFonts w:cs="David"/>
        </w:rPr>
        <w:t>I</w:t>
      </w:r>
      <w:r>
        <w:rPr>
          <w:rFonts w:cs="David"/>
        </w:rPr>
        <w:t xml:space="preserve">nsurers in respect of </w:t>
      </w:r>
      <w:proofErr w:type="spellStart"/>
      <w:r>
        <w:rPr>
          <w:rFonts w:cs="David"/>
        </w:rPr>
        <w:t>jewellery</w:t>
      </w:r>
      <w:proofErr w:type="spellEnd"/>
      <w:r>
        <w:rPr>
          <w:rFonts w:cs="David"/>
        </w:rPr>
        <w:t xml:space="preserve"> </w:t>
      </w:r>
      <w:r w:rsidR="004F7050">
        <w:rPr>
          <w:rFonts w:cs="David"/>
        </w:rPr>
        <w:t xml:space="preserve">(i.e. </w:t>
      </w:r>
      <w:r w:rsidR="0053189F">
        <w:rPr>
          <w:rFonts w:cs="David"/>
        </w:rPr>
        <w:t xml:space="preserve">that it be kept in a </w:t>
      </w:r>
      <w:r w:rsidR="004F7050">
        <w:rPr>
          <w:rFonts w:cs="David"/>
        </w:rPr>
        <w:t>safe</w:t>
      </w:r>
      <w:r w:rsidR="0053189F">
        <w:rPr>
          <w:rFonts w:cs="David"/>
        </w:rPr>
        <w:t xml:space="preserve"> while at home</w:t>
      </w:r>
      <w:r w:rsidR="004F7050">
        <w:rPr>
          <w:rFonts w:cs="David"/>
        </w:rPr>
        <w:t xml:space="preserve">) </w:t>
      </w:r>
      <w:r>
        <w:rPr>
          <w:rFonts w:cs="David"/>
        </w:rPr>
        <w:t xml:space="preserve">and that the </w:t>
      </w:r>
      <w:r w:rsidR="0053189F">
        <w:rPr>
          <w:rFonts w:cs="David"/>
        </w:rPr>
        <w:t>I</w:t>
      </w:r>
      <w:r>
        <w:rPr>
          <w:rFonts w:cs="David"/>
        </w:rPr>
        <w:t xml:space="preserve">nsured's failure to comply with </w:t>
      </w:r>
      <w:r w:rsidR="00574BC6">
        <w:rPr>
          <w:rFonts w:cs="David"/>
        </w:rPr>
        <w:t>these measures can be considered as</w:t>
      </w:r>
      <w:r>
        <w:rPr>
          <w:rFonts w:cs="David"/>
        </w:rPr>
        <w:t xml:space="preserve"> a </w:t>
      </w:r>
      <w:r w:rsidR="0054634A">
        <w:rPr>
          <w:rFonts w:cs="David"/>
        </w:rPr>
        <w:t xml:space="preserve">direct </w:t>
      </w:r>
      <w:r>
        <w:rPr>
          <w:rFonts w:cs="David"/>
        </w:rPr>
        <w:t xml:space="preserve">causal connection </w:t>
      </w:r>
      <w:r w:rsidR="0053189F">
        <w:rPr>
          <w:rFonts w:cs="David"/>
        </w:rPr>
        <w:t>for</w:t>
      </w:r>
      <w:r>
        <w:rPr>
          <w:rFonts w:cs="David"/>
        </w:rPr>
        <w:t xml:space="preserve"> the </w:t>
      </w:r>
      <w:r w:rsidR="0053189F">
        <w:rPr>
          <w:rFonts w:cs="David"/>
        </w:rPr>
        <w:t>loss.</w:t>
      </w:r>
    </w:p>
    <w:p w:rsidR="003B6EDD" w:rsidRDefault="003B6EDD" w:rsidP="003B6EDD">
      <w:pPr>
        <w:rPr>
          <w:rFonts w:cs="David"/>
        </w:rPr>
      </w:pPr>
    </w:p>
    <w:p w:rsidR="0053189F" w:rsidRDefault="003B6EDD" w:rsidP="00280E89">
      <w:pPr>
        <w:rPr>
          <w:rFonts w:cs="David"/>
        </w:rPr>
      </w:pPr>
      <w:r>
        <w:rPr>
          <w:rFonts w:cs="David"/>
        </w:rPr>
        <w:t xml:space="preserve">The Supreme Court referred </w:t>
      </w:r>
      <w:r w:rsidR="000A2F07">
        <w:rPr>
          <w:rFonts w:cs="David"/>
        </w:rPr>
        <w:t>to Section 21 of</w:t>
      </w:r>
      <w:r>
        <w:rPr>
          <w:rFonts w:cs="David"/>
        </w:rPr>
        <w:t xml:space="preserve"> the</w:t>
      </w:r>
      <w:r w:rsidR="00574BC6">
        <w:rPr>
          <w:rFonts w:cs="David"/>
        </w:rPr>
        <w:t xml:space="preserve"> Israel</w:t>
      </w:r>
      <w:r>
        <w:rPr>
          <w:rFonts w:cs="David"/>
        </w:rPr>
        <w:t xml:space="preserve"> Insurance Contract Law</w:t>
      </w:r>
      <w:r w:rsidR="00280E89">
        <w:rPr>
          <w:rFonts w:cs="David"/>
        </w:rPr>
        <w:t xml:space="preserve"> </w:t>
      </w:r>
      <w:r w:rsidR="0053189F">
        <w:rPr>
          <w:rFonts w:cs="David"/>
        </w:rPr>
        <w:t>and</w:t>
      </w:r>
      <w:r>
        <w:rPr>
          <w:rFonts w:cs="David"/>
        </w:rPr>
        <w:t xml:space="preserve"> to Section 18</w:t>
      </w:r>
      <w:r w:rsidR="000A2F07" w:rsidRPr="000A2F07">
        <w:rPr>
          <w:rFonts w:cs="David"/>
        </w:rPr>
        <w:t xml:space="preserve"> </w:t>
      </w:r>
      <w:r w:rsidR="000A2F07">
        <w:rPr>
          <w:rFonts w:cs="David"/>
        </w:rPr>
        <w:t>of the Law</w:t>
      </w:r>
      <w:r w:rsidR="0053189F">
        <w:rPr>
          <w:rFonts w:cs="David"/>
        </w:rPr>
        <w:t>,</w:t>
      </w:r>
      <w:r>
        <w:rPr>
          <w:rFonts w:cs="David"/>
        </w:rPr>
        <w:t xml:space="preserve"> which deals with increase in risk</w:t>
      </w:r>
      <w:r w:rsidR="0053189F">
        <w:rPr>
          <w:rFonts w:cs="David"/>
        </w:rPr>
        <w:t>.</w:t>
      </w:r>
    </w:p>
    <w:p w:rsidR="0053189F" w:rsidRDefault="0053189F" w:rsidP="0053189F">
      <w:pPr>
        <w:rPr>
          <w:rFonts w:cs="David"/>
        </w:rPr>
      </w:pPr>
    </w:p>
    <w:p w:rsidR="0053189F" w:rsidRDefault="000A2F07" w:rsidP="0053189F">
      <w:pPr>
        <w:rPr>
          <w:rFonts w:cs="David"/>
        </w:rPr>
      </w:pPr>
      <w:r>
        <w:rPr>
          <w:rFonts w:cs="David"/>
        </w:rPr>
        <w:t>Section 21 states:</w:t>
      </w:r>
    </w:p>
    <w:p w:rsidR="000A2F07" w:rsidRDefault="000A2F07" w:rsidP="0053189F">
      <w:pPr>
        <w:rPr>
          <w:rFonts w:cs="David"/>
        </w:rPr>
      </w:pPr>
    </w:p>
    <w:p w:rsidR="000A2F07" w:rsidRPr="000A2F07" w:rsidRDefault="000A2F07" w:rsidP="0053189F">
      <w:pPr>
        <w:rPr>
          <w:rFonts w:cs="David"/>
          <w:i/>
          <w:iCs/>
        </w:rPr>
      </w:pPr>
      <w:r w:rsidRPr="000A2F07">
        <w:rPr>
          <w:rFonts w:cs="David"/>
          <w:i/>
          <w:iCs/>
        </w:rPr>
        <w:t>“If it was conditioned that the Insured should take measures to substantially reduce the risk of the Insurer and such measures were not taken during the requested period, Clauses 18 and 19 will apply subject to the relevant changes.”</w:t>
      </w:r>
    </w:p>
    <w:p w:rsidR="000A2F07" w:rsidRPr="000A2F07" w:rsidRDefault="000A2F07" w:rsidP="0053189F">
      <w:pPr>
        <w:rPr>
          <w:rFonts w:cs="David"/>
        </w:rPr>
      </w:pPr>
    </w:p>
    <w:p w:rsidR="0053189F" w:rsidRDefault="000A2F07" w:rsidP="000A2F07">
      <w:pPr>
        <w:rPr>
          <w:rFonts w:cs="David"/>
        </w:rPr>
      </w:pPr>
      <w:r>
        <w:rPr>
          <w:rFonts w:cs="David"/>
        </w:rPr>
        <w:t>Clause 18 (c) stipulates that:</w:t>
      </w:r>
    </w:p>
    <w:p w:rsidR="000A2F07" w:rsidRPr="000A2F07" w:rsidRDefault="000A2F07" w:rsidP="004F7050">
      <w:pPr>
        <w:rPr>
          <w:rFonts w:cs="David"/>
        </w:rPr>
      </w:pPr>
    </w:p>
    <w:p w:rsidR="003B6EDD" w:rsidRDefault="003B6EDD" w:rsidP="00280E89">
      <w:pPr>
        <w:rPr>
          <w:rFonts w:cs="David"/>
          <w:i/>
          <w:iCs/>
        </w:rPr>
      </w:pPr>
      <w:r>
        <w:rPr>
          <w:rFonts w:cs="David"/>
          <w:i/>
          <w:iCs/>
        </w:rPr>
        <w:t xml:space="preserve">Where the </w:t>
      </w:r>
      <w:r w:rsidR="000A2F07">
        <w:rPr>
          <w:rFonts w:cs="David"/>
          <w:i/>
          <w:iCs/>
        </w:rPr>
        <w:t xml:space="preserve">insured </w:t>
      </w:r>
      <w:r>
        <w:rPr>
          <w:rFonts w:cs="David"/>
          <w:i/>
          <w:iCs/>
        </w:rPr>
        <w:t xml:space="preserve">event </w:t>
      </w:r>
      <w:r w:rsidR="000A2F07">
        <w:rPr>
          <w:rFonts w:cs="David"/>
          <w:i/>
          <w:iCs/>
        </w:rPr>
        <w:t>occurred</w:t>
      </w:r>
      <w:r>
        <w:rPr>
          <w:rFonts w:cs="David"/>
          <w:i/>
          <w:iCs/>
        </w:rPr>
        <w:t xml:space="preserve"> before the contract is cancelled </w:t>
      </w:r>
      <w:r w:rsidR="00280E89">
        <w:rPr>
          <w:rFonts w:cs="David"/>
          <w:i/>
          <w:iCs/>
        </w:rPr>
        <w:t>by virtue of</w:t>
      </w:r>
      <w:r w:rsidR="000A2F07">
        <w:rPr>
          <w:rFonts w:cs="David"/>
          <w:i/>
          <w:iCs/>
        </w:rPr>
        <w:t xml:space="preserve"> this clause, the Insurer is only liable for the</w:t>
      </w:r>
      <w:r>
        <w:rPr>
          <w:rFonts w:cs="David"/>
          <w:i/>
          <w:iCs/>
        </w:rPr>
        <w:t xml:space="preserve"> proportional </w:t>
      </w:r>
      <w:r w:rsidR="000A2F07">
        <w:rPr>
          <w:rFonts w:cs="David"/>
          <w:i/>
          <w:iCs/>
        </w:rPr>
        <w:t>insurance benefits</w:t>
      </w:r>
      <w:r w:rsidR="00280E89">
        <w:rPr>
          <w:rFonts w:cs="David"/>
          <w:i/>
          <w:iCs/>
        </w:rPr>
        <w:t xml:space="preserve">, in a rate that </w:t>
      </w:r>
      <w:r w:rsidR="00280E89">
        <w:rPr>
          <w:rFonts w:cs="David"/>
          <w:i/>
          <w:iCs/>
        </w:rPr>
        <w:lastRenderedPageBreak/>
        <w:t>is</w:t>
      </w:r>
      <w:r w:rsidR="000A2F07">
        <w:rPr>
          <w:rFonts w:cs="David"/>
          <w:i/>
          <w:iCs/>
        </w:rPr>
        <w:t xml:space="preserve"> </w:t>
      </w:r>
      <w:r>
        <w:rPr>
          <w:rFonts w:cs="David"/>
          <w:i/>
          <w:iCs/>
        </w:rPr>
        <w:t xml:space="preserve">based on the premium which a reasonable insurer would have charged for cover without </w:t>
      </w:r>
      <w:r w:rsidR="002A18A3">
        <w:rPr>
          <w:rFonts w:cs="David"/>
          <w:i/>
          <w:iCs/>
        </w:rPr>
        <w:t>the specific measure to reduce the risk</w:t>
      </w:r>
      <w:r w:rsidR="00280E89">
        <w:rPr>
          <w:rFonts w:cs="David"/>
          <w:i/>
          <w:iCs/>
        </w:rPr>
        <w:t xml:space="preserve"> </w:t>
      </w:r>
      <w:proofErr w:type="spellStart"/>
      <w:r w:rsidR="00280E89">
        <w:rPr>
          <w:rFonts w:cs="David"/>
          <w:i/>
          <w:iCs/>
        </w:rPr>
        <w:t>vis</w:t>
      </w:r>
      <w:proofErr w:type="spellEnd"/>
      <w:r w:rsidR="00280E89">
        <w:rPr>
          <w:rFonts w:cs="David"/>
          <w:i/>
          <w:iCs/>
        </w:rPr>
        <w:t xml:space="preserve"> a </w:t>
      </w:r>
      <w:proofErr w:type="spellStart"/>
      <w:r w:rsidR="00280E89">
        <w:rPr>
          <w:rFonts w:cs="David"/>
          <w:i/>
          <w:iCs/>
        </w:rPr>
        <w:t>vis</w:t>
      </w:r>
      <w:proofErr w:type="spellEnd"/>
      <w:r w:rsidR="00280E89">
        <w:rPr>
          <w:rFonts w:cs="David"/>
          <w:i/>
          <w:iCs/>
        </w:rPr>
        <w:t xml:space="preserve"> the premium charged</w:t>
      </w:r>
      <w:r w:rsidR="002A18A3">
        <w:rPr>
          <w:rFonts w:cs="David"/>
          <w:i/>
          <w:iCs/>
        </w:rPr>
        <w:t>.</w:t>
      </w:r>
    </w:p>
    <w:p w:rsidR="00574BC6" w:rsidRDefault="00574BC6" w:rsidP="00574BC6">
      <w:pPr>
        <w:rPr>
          <w:rFonts w:cs="David"/>
          <w:i/>
          <w:iCs/>
        </w:rPr>
      </w:pPr>
    </w:p>
    <w:p w:rsidR="002A18A3" w:rsidRDefault="002A18A3" w:rsidP="000A2F07">
      <w:pPr>
        <w:rPr>
          <w:rFonts w:cs="David"/>
        </w:rPr>
      </w:pPr>
      <w:r>
        <w:rPr>
          <w:rFonts w:cs="David"/>
        </w:rPr>
        <w:t xml:space="preserve">The </w:t>
      </w:r>
      <w:r w:rsidR="000A2F07">
        <w:rPr>
          <w:rFonts w:cs="David"/>
        </w:rPr>
        <w:t>clause</w:t>
      </w:r>
      <w:r w:rsidR="004F7050">
        <w:rPr>
          <w:rFonts w:cs="David"/>
        </w:rPr>
        <w:t xml:space="preserve"> further provides that the </w:t>
      </w:r>
      <w:r w:rsidR="000A2F07">
        <w:rPr>
          <w:rFonts w:cs="David"/>
        </w:rPr>
        <w:t>I</w:t>
      </w:r>
      <w:r>
        <w:rPr>
          <w:rFonts w:cs="David"/>
        </w:rPr>
        <w:t xml:space="preserve">nsurer will </w:t>
      </w:r>
      <w:r w:rsidR="00574BC6">
        <w:rPr>
          <w:rFonts w:cs="David"/>
        </w:rPr>
        <w:t>be</w:t>
      </w:r>
      <w:r>
        <w:rPr>
          <w:rFonts w:cs="David"/>
        </w:rPr>
        <w:t xml:space="preserve"> </w:t>
      </w:r>
      <w:r w:rsidR="000A2F07">
        <w:rPr>
          <w:rFonts w:cs="David"/>
        </w:rPr>
        <w:t>e</w:t>
      </w:r>
      <w:r>
        <w:rPr>
          <w:rFonts w:cs="David"/>
        </w:rPr>
        <w:t>xempt from lia</w:t>
      </w:r>
      <w:r w:rsidR="000A2F07">
        <w:rPr>
          <w:rFonts w:cs="David"/>
        </w:rPr>
        <w:t>bility only when no reasonable I</w:t>
      </w:r>
      <w:r>
        <w:rPr>
          <w:rFonts w:cs="David"/>
        </w:rPr>
        <w:t>nsurer would have agreed to cover the risk even for a higher premium.</w:t>
      </w:r>
    </w:p>
    <w:p w:rsidR="000A2F07" w:rsidRDefault="000A2F07" w:rsidP="000A2F07">
      <w:pPr>
        <w:rPr>
          <w:rFonts w:cs="David"/>
        </w:rPr>
      </w:pPr>
    </w:p>
    <w:p w:rsidR="002A18A3" w:rsidRDefault="000A2F07" w:rsidP="00280E89">
      <w:pPr>
        <w:rPr>
          <w:rFonts w:cs="David"/>
        </w:rPr>
      </w:pPr>
      <w:r>
        <w:rPr>
          <w:rFonts w:cs="David"/>
        </w:rPr>
        <w:t>In order to explain the logic of the law which only agrees to void a policy in case of fraud</w:t>
      </w:r>
      <w:r w:rsidR="00637C59">
        <w:rPr>
          <w:rFonts w:cs="David"/>
        </w:rPr>
        <w:t>,</w:t>
      </w:r>
      <w:r>
        <w:rPr>
          <w:rFonts w:cs="David"/>
        </w:rPr>
        <w:t xml:space="preserve"> or in the case of an extreme situation </w:t>
      </w:r>
      <w:r w:rsidR="00637C59">
        <w:rPr>
          <w:rFonts w:cs="David"/>
        </w:rPr>
        <w:t>that</w:t>
      </w:r>
      <w:r>
        <w:rPr>
          <w:rFonts w:cs="David"/>
        </w:rPr>
        <w:t xml:space="preserve"> no Insurer would agree to cover, the Supreme Court cited from </w:t>
      </w:r>
      <w:r w:rsidR="00280E89">
        <w:rPr>
          <w:rFonts w:cs="David"/>
        </w:rPr>
        <w:t xml:space="preserve">German </w:t>
      </w:r>
      <w:r w:rsidR="002A18A3">
        <w:rPr>
          <w:rFonts w:cs="David"/>
        </w:rPr>
        <w:t xml:space="preserve">and French laws, and emphasized that </w:t>
      </w:r>
      <w:r>
        <w:rPr>
          <w:rFonts w:cs="David"/>
        </w:rPr>
        <w:t xml:space="preserve">all these legal systems </w:t>
      </w:r>
      <w:r w:rsidR="002A18A3">
        <w:rPr>
          <w:rFonts w:cs="David"/>
        </w:rPr>
        <w:t xml:space="preserve">try to avoid a solution of "all or nothing". </w:t>
      </w:r>
      <w:r w:rsidR="00637C59">
        <w:rPr>
          <w:rFonts w:cs="David"/>
        </w:rPr>
        <w:t>When dealing with insurance contracts i</w:t>
      </w:r>
      <w:r>
        <w:rPr>
          <w:rFonts w:cs="David"/>
        </w:rPr>
        <w:t xml:space="preserve">n all these </w:t>
      </w:r>
      <w:r w:rsidR="00637C59">
        <w:rPr>
          <w:rFonts w:cs="David"/>
        </w:rPr>
        <w:t xml:space="preserve">legal systems, </w:t>
      </w:r>
      <w:r w:rsidR="002A18A3">
        <w:rPr>
          <w:rFonts w:cs="David"/>
        </w:rPr>
        <w:t>the</w:t>
      </w:r>
      <w:r w:rsidR="00574BC6">
        <w:rPr>
          <w:rFonts w:cs="David"/>
        </w:rPr>
        <w:t xml:space="preserve"> Courts</w:t>
      </w:r>
      <w:r w:rsidR="002A18A3">
        <w:rPr>
          <w:rFonts w:cs="David"/>
        </w:rPr>
        <w:t xml:space="preserve"> will try to find a solution which will allow </w:t>
      </w:r>
      <w:r w:rsidR="00574BC6">
        <w:rPr>
          <w:rFonts w:cs="David"/>
        </w:rPr>
        <w:t>i</w:t>
      </w:r>
      <w:r w:rsidR="002A18A3">
        <w:rPr>
          <w:rFonts w:cs="David"/>
        </w:rPr>
        <w:t xml:space="preserve">nsurers to make a partial payment of </w:t>
      </w:r>
      <w:r w:rsidR="00574BC6">
        <w:rPr>
          <w:rFonts w:cs="David"/>
        </w:rPr>
        <w:t xml:space="preserve">the </w:t>
      </w:r>
      <w:r w:rsidR="002A18A3">
        <w:rPr>
          <w:rFonts w:cs="David"/>
        </w:rPr>
        <w:t xml:space="preserve">insurance benefits </w:t>
      </w:r>
      <w:r w:rsidR="00280E89">
        <w:rPr>
          <w:rFonts w:cs="David"/>
        </w:rPr>
        <w:t>rather than</w:t>
      </w:r>
      <w:r w:rsidR="002A18A3">
        <w:rPr>
          <w:rFonts w:cs="David"/>
        </w:rPr>
        <w:t xml:space="preserve"> voiding the contract.</w:t>
      </w:r>
    </w:p>
    <w:p w:rsidR="002A18A3" w:rsidRDefault="002A18A3" w:rsidP="002A18A3">
      <w:pPr>
        <w:rPr>
          <w:rFonts w:cs="David"/>
        </w:rPr>
      </w:pPr>
    </w:p>
    <w:p w:rsidR="004F7050" w:rsidRDefault="004F7050" w:rsidP="00280E89">
      <w:pPr>
        <w:rPr>
          <w:rFonts w:cs="David"/>
        </w:rPr>
      </w:pPr>
      <w:r>
        <w:rPr>
          <w:rFonts w:cs="David"/>
        </w:rPr>
        <w:t>There</w:t>
      </w:r>
      <w:r w:rsidR="000A2F07">
        <w:rPr>
          <w:rFonts w:cs="David"/>
        </w:rPr>
        <w:t>fore, the Court ruled that the I</w:t>
      </w:r>
      <w:r>
        <w:rPr>
          <w:rFonts w:cs="David"/>
        </w:rPr>
        <w:t>nsurer will not be</w:t>
      </w:r>
      <w:r w:rsidR="00654BC4">
        <w:rPr>
          <w:rFonts w:cs="David"/>
        </w:rPr>
        <w:t xml:space="preserve"> automatically</w:t>
      </w:r>
      <w:r w:rsidR="00B52090">
        <w:rPr>
          <w:rFonts w:cs="David"/>
        </w:rPr>
        <w:t xml:space="preserve"> exempt from liability, even when the Insured infringes </w:t>
      </w:r>
      <w:r w:rsidR="00280E89">
        <w:rPr>
          <w:rFonts w:cs="David"/>
        </w:rPr>
        <w:t>the policy conditions.</w:t>
      </w:r>
    </w:p>
    <w:p w:rsidR="000A2F07" w:rsidRDefault="000A2F07" w:rsidP="00654BC4">
      <w:pPr>
        <w:rPr>
          <w:rFonts w:cs="David"/>
        </w:rPr>
      </w:pPr>
    </w:p>
    <w:p w:rsidR="002A18A3" w:rsidRDefault="00574BC6" w:rsidP="00280E89">
      <w:pPr>
        <w:rPr>
          <w:rFonts w:cs="David"/>
        </w:rPr>
      </w:pPr>
      <w:r>
        <w:rPr>
          <w:rFonts w:cs="David"/>
        </w:rPr>
        <w:t xml:space="preserve">It was ruled </w:t>
      </w:r>
      <w:r w:rsidR="002A18A3">
        <w:rPr>
          <w:rFonts w:cs="David"/>
        </w:rPr>
        <w:t>that the burden to prove the approp</w:t>
      </w:r>
      <w:r w:rsidR="00B52090">
        <w:rPr>
          <w:rFonts w:cs="David"/>
        </w:rPr>
        <w:t>riate premium rate lies on the I</w:t>
      </w:r>
      <w:r w:rsidR="002A18A3">
        <w:rPr>
          <w:rFonts w:cs="David"/>
        </w:rPr>
        <w:t>n</w:t>
      </w:r>
      <w:r w:rsidR="00280E89">
        <w:rPr>
          <w:rFonts w:cs="David"/>
        </w:rPr>
        <w:t>surer</w:t>
      </w:r>
      <w:r w:rsidR="00B52090">
        <w:rPr>
          <w:rFonts w:cs="David"/>
        </w:rPr>
        <w:t xml:space="preserve"> and can be divided into three</w:t>
      </w:r>
      <w:r w:rsidR="002A18A3">
        <w:rPr>
          <w:rFonts w:cs="David"/>
        </w:rPr>
        <w:t xml:space="preserve"> stages:</w:t>
      </w:r>
    </w:p>
    <w:p w:rsidR="002A18A3" w:rsidRDefault="002A18A3" w:rsidP="002A18A3">
      <w:pPr>
        <w:rPr>
          <w:rFonts w:cs="David"/>
        </w:rPr>
      </w:pPr>
    </w:p>
    <w:p w:rsidR="002A18A3" w:rsidRDefault="002A18A3" w:rsidP="00280E89">
      <w:pPr>
        <w:ind w:left="720" w:hanging="720"/>
        <w:rPr>
          <w:rFonts w:cs="David"/>
        </w:rPr>
      </w:pPr>
      <w:r>
        <w:rPr>
          <w:rFonts w:cs="David"/>
        </w:rPr>
        <w:t xml:space="preserve">(1)  </w:t>
      </w:r>
      <w:r w:rsidR="00574BC6">
        <w:rPr>
          <w:rFonts w:cs="David"/>
        </w:rPr>
        <w:tab/>
      </w:r>
      <w:r w:rsidR="009855B9">
        <w:rPr>
          <w:rFonts w:cs="David"/>
        </w:rPr>
        <w:t>If this specific I</w:t>
      </w:r>
      <w:r>
        <w:rPr>
          <w:rFonts w:cs="David"/>
        </w:rPr>
        <w:t>nsurer had a similar po</w:t>
      </w:r>
      <w:r w:rsidR="00574BC6">
        <w:rPr>
          <w:rFonts w:cs="David"/>
        </w:rPr>
        <w:t xml:space="preserve">licy which does not require implementation of a </w:t>
      </w:r>
      <w:r>
        <w:rPr>
          <w:rFonts w:cs="David"/>
        </w:rPr>
        <w:t>measure</w:t>
      </w:r>
      <w:r w:rsidR="009855B9">
        <w:rPr>
          <w:rFonts w:cs="David"/>
        </w:rPr>
        <w:t xml:space="preserve"> to reduce the risk, then such I</w:t>
      </w:r>
      <w:r>
        <w:rPr>
          <w:rFonts w:cs="David"/>
        </w:rPr>
        <w:t xml:space="preserve">nsurer should prove to the court </w:t>
      </w:r>
      <w:r w:rsidR="00280E89">
        <w:rPr>
          <w:rFonts w:cs="David"/>
        </w:rPr>
        <w:t xml:space="preserve">that </w:t>
      </w:r>
      <w:r>
        <w:rPr>
          <w:rFonts w:cs="David"/>
        </w:rPr>
        <w:t xml:space="preserve">the premium it would have charged and the </w:t>
      </w:r>
      <w:r w:rsidR="009855B9">
        <w:rPr>
          <w:rFonts w:cs="David"/>
        </w:rPr>
        <w:t>difference</w:t>
      </w:r>
      <w:r>
        <w:rPr>
          <w:rFonts w:cs="David"/>
        </w:rPr>
        <w:t xml:space="preserve"> between that premium and the premium actually charged</w:t>
      </w:r>
      <w:r w:rsidR="00574BC6">
        <w:rPr>
          <w:rFonts w:cs="David"/>
        </w:rPr>
        <w:t xml:space="preserve"> </w:t>
      </w:r>
      <w:r>
        <w:rPr>
          <w:rFonts w:cs="David"/>
        </w:rPr>
        <w:t>will serve as a basis for the calculation.</w:t>
      </w:r>
    </w:p>
    <w:p w:rsidR="00B52090" w:rsidRDefault="00B52090" w:rsidP="00574BC6">
      <w:pPr>
        <w:ind w:left="720" w:hanging="720"/>
        <w:rPr>
          <w:rFonts w:cs="David"/>
        </w:rPr>
      </w:pPr>
    </w:p>
    <w:p w:rsidR="002A18A3" w:rsidRDefault="002A18A3" w:rsidP="009855B9">
      <w:pPr>
        <w:ind w:left="720" w:hanging="720"/>
        <w:rPr>
          <w:rFonts w:cs="David"/>
        </w:rPr>
      </w:pPr>
      <w:r>
        <w:rPr>
          <w:rFonts w:cs="David"/>
        </w:rPr>
        <w:t>(2)</w:t>
      </w:r>
      <w:r w:rsidR="00574BC6">
        <w:rPr>
          <w:rFonts w:cs="David"/>
        </w:rPr>
        <w:tab/>
      </w:r>
      <w:r w:rsidR="009855B9">
        <w:rPr>
          <w:rFonts w:cs="David"/>
        </w:rPr>
        <w:t>If the specific I</w:t>
      </w:r>
      <w:r>
        <w:rPr>
          <w:rFonts w:cs="David"/>
        </w:rPr>
        <w:t>nsurer does not sell the same policy without</w:t>
      </w:r>
      <w:r w:rsidR="00574BC6">
        <w:rPr>
          <w:rFonts w:cs="David"/>
        </w:rPr>
        <w:t xml:space="preserve"> a</w:t>
      </w:r>
      <w:r>
        <w:rPr>
          <w:rFonts w:cs="David"/>
        </w:rPr>
        <w:t xml:space="preserve"> requirement for said protection measures</w:t>
      </w:r>
      <w:r w:rsidR="00574BC6">
        <w:rPr>
          <w:rFonts w:cs="David"/>
        </w:rPr>
        <w:t>,</w:t>
      </w:r>
      <w:r w:rsidR="004F7050">
        <w:rPr>
          <w:rFonts w:cs="David"/>
        </w:rPr>
        <w:t xml:space="preserve"> then</w:t>
      </w:r>
      <w:r>
        <w:rPr>
          <w:rFonts w:cs="David"/>
        </w:rPr>
        <w:t xml:space="preserve"> </w:t>
      </w:r>
      <w:r w:rsidR="009855B9">
        <w:rPr>
          <w:rFonts w:cs="David"/>
        </w:rPr>
        <w:t>it</w:t>
      </w:r>
      <w:r>
        <w:rPr>
          <w:rFonts w:cs="David"/>
        </w:rPr>
        <w:t xml:space="preserve"> should provide proof as to </w:t>
      </w:r>
      <w:r w:rsidR="00574BC6">
        <w:rPr>
          <w:rFonts w:cs="David"/>
        </w:rPr>
        <w:t xml:space="preserve">the </w:t>
      </w:r>
      <w:proofErr w:type="spellStart"/>
      <w:r w:rsidR="009855B9">
        <w:rPr>
          <w:rFonts w:cs="David"/>
        </w:rPr>
        <w:t>behaviour</w:t>
      </w:r>
      <w:proofErr w:type="spellEnd"/>
      <w:r w:rsidR="009855B9">
        <w:rPr>
          <w:rFonts w:cs="David"/>
        </w:rPr>
        <w:t xml:space="preserve"> of</w:t>
      </w:r>
      <w:r w:rsidR="00574BC6">
        <w:rPr>
          <w:rFonts w:cs="David"/>
        </w:rPr>
        <w:t xml:space="preserve"> a </w:t>
      </w:r>
      <w:r>
        <w:rPr>
          <w:rFonts w:cs="David"/>
        </w:rPr>
        <w:t>"reasonable insurer" and the cost of such policy on the open market.</w:t>
      </w:r>
    </w:p>
    <w:p w:rsidR="00B52090" w:rsidRDefault="00B52090" w:rsidP="004F7050">
      <w:pPr>
        <w:ind w:left="720" w:hanging="720"/>
        <w:rPr>
          <w:rFonts w:cs="David"/>
        </w:rPr>
      </w:pPr>
    </w:p>
    <w:p w:rsidR="002A18A3" w:rsidRDefault="002A18A3" w:rsidP="000A21B5">
      <w:pPr>
        <w:ind w:left="720" w:hanging="720"/>
        <w:rPr>
          <w:rFonts w:cs="David"/>
        </w:rPr>
      </w:pPr>
      <w:r>
        <w:rPr>
          <w:rFonts w:cs="David"/>
        </w:rPr>
        <w:t>(3)</w:t>
      </w:r>
      <w:r w:rsidR="00574BC6">
        <w:rPr>
          <w:rFonts w:cs="David"/>
        </w:rPr>
        <w:tab/>
      </w:r>
      <w:r>
        <w:rPr>
          <w:rFonts w:cs="David"/>
        </w:rPr>
        <w:t>Only when it ca</w:t>
      </w:r>
      <w:r w:rsidR="009855B9">
        <w:rPr>
          <w:rFonts w:cs="David"/>
        </w:rPr>
        <w:t>n be proven that no reasonable I</w:t>
      </w:r>
      <w:r>
        <w:rPr>
          <w:rFonts w:cs="David"/>
        </w:rPr>
        <w:t>nsurer would agree to cover the said risk without</w:t>
      </w:r>
      <w:r w:rsidR="00574BC6">
        <w:rPr>
          <w:rFonts w:cs="David"/>
        </w:rPr>
        <w:t xml:space="preserve"> implementation of</w:t>
      </w:r>
      <w:r>
        <w:rPr>
          <w:rFonts w:cs="David"/>
        </w:rPr>
        <w:t xml:space="preserve"> the releva</w:t>
      </w:r>
      <w:r w:rsidR="00574BC6">
        <w:rPr>
          <w:rFonts w:cs="David"/>
        </w:rPr>
        <w:t xml:space="preserve">nt </w:t>
      </w:r>
      <w:r w:rsidR="000A21B5">
        <w:rPr>
          <w:rFonts w:cs="David"/>
        </w:rPr>
        <w:t>security</w:t>
      </w:r>
      <w:r w:rsidR="00574BC6">
        <w:rPr>
          <w:rFonts w:cs="David"/>
        </w:rPr>
        <w:t xml:space="preserve"> measure</w:t>
      </w:r>
      <w:r w:rsidR="009855B9">
        <w:rPr>
          <w:rFonts w:cs="David"/>
        </w:rPr>
        <w:t xml:space="preserve">, </w:t>
      </w:r>
      <w:proofErr w:type="gramStart"/>
      <w:r w:rsidR="009855B9">
        <w:rPr>
          <w:rFonts w:cs="David"/>
        </w:rPr>
        <w:t>then</w:t>
      </w:r>
      <w:proofErr w:type="gramEnd"/>
      <w:r w:rsidR="009855B9">
        <w:rPr>
          <w:rFonts w:cs="David"/>
        </w:rPr>
        <w:t xml:space="preserve"> the Insurer</w:t>
      </w:r>
      <w:r>
        <w:rPr>
          <w:rFonts w:cs="David"/>
        </w:rPr>
        <w:t xml:space="preserve"> will be exempt from liability.</w:t>
      </w:r>
    </w:p>
    <w:p w:rsidR="002A18A3" w:rsidRDefault="002A18A3" w:rsidP="002A18A3">
      <w:pPr>
        <w:rPr>
          <w:rFonts w:cs="David"/>
        </w:rPr>
      </w:pPr>
    </w:p>
    <w:p w:rsidR="002A18A3" w:rsidRDefault="004F7050" w:rsidP="00654BC4">
      <w:pPr>
        <w:rPr>
          <w:rFonts w:cs="David"/>
        </w:rPr>
      </w:pPr>
      <w:r>
        <w:rPr>
          <w:rFonts w:cs="David"/>
        </w:rPr>
        <w:t>I</w:t>
      </w:r>
      <w:r w:rsidR="00D274CD">
        <w:rPr>
          <w:rFonts w:cs="David"/>
        </w:rPr>
        <w:t>n this specific case</w:t>
      </w:r>
      <w:r w:rsidR="00654BC4">
        <w:rPr>
          <w:rFonts w:cs="David"/>
        </w:rPr>
        <w:t>, as</w:t>
      </w:r>
      <w:r w:rsidR="009855B9">
        <w:rPr>
          <w:rFonts w:cs="David"/>
        </w:rPr>
        <w:t xml:space="preserve"> the I</w:t>
      </w:r>
      <w:r w:rsidR="00D274CD">
        <w:rPr>
          <w:rFonts w:cs="David"/>
        </w:rPr>
        <w:t xml:space="preserve">nsurer failed to prove the cost </w:t>
      </w:r>
      <w:r w:rsidR="00280E89">
        <w:rPr>
          <w:rFonts w:cs="David"/>
        </w:rPr>
        <w:t xml:space="preserve">of the alternative policy or to provide evidence that no reasonable Insurer would agree to cover such risk, </w:t>
      </w:r>
      <w:r w:rsidR="009855B9">
        <w:rPr>
          <w:rFonts w:cs="David"/>
        </w:rPr>
        <w:t>the I</w:t>
      </w:r>
      <w:r w:rsidR="00D274CD">
        <w:rPr>
          <w:rFonts w:cs="David"/>
        </w:rPr>
        <w:t>nsured will be entitled to full payment of the insurance benefits.</w:t>
      </w:r>
    </w:p>
    <w:p w:rsidR="002A18A3" w:rsidRDefault="002A18A3" w:rsidP="002A18A3">
      <w:pPr>
        <w:rPr>
          <w:rFonts w:cs="David"/>
        </w:rPr>
      </w:pPr>
    </w:p>
    <w:p w:rsidR="003B6EDD" w:rsidRPr="003B6EDD" w:rsidRDefault="003B6EDD" w:rsidP="00574BC6">
      <w:pPr>
        <w:rPr>
          <w:rFonts w:cs="David"/>
        </w:rPr>
      </w:pPr>
    </w:p>
    <w:sectPr w:rsidR="003B6EDD" w:rsidRPr="003B6EDD" w:rsidSect="00D274CD">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9E0" w:rsidRDefault="002D69E0" w:rsidP="00D274CD">
      <w:pPr>
        <w:spacing w:line="240" w:lineRule="auto"/>
      </w:pPr>
      <w:r>
        <w:separator/>
      </w:r>
    </w:p>
  </w:endnote>
  <w:endnote w:type="continuationSeparator" w:id="0">
    <w:p w:rsidR="002D69E0" w:rsidRDefault="002D69E0" w:rsidP="00D27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auto"/>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9E0" w:rsidRDefault="002D69E0" w:rsidP="00D274CD">
      <w:pPr>
        <w:spacing w:line="240" w:lineRule="auto"/>
      </w:pPr>
      <w:r>
        <w:separator/>
      </w:r>
    </w:p>
  </w:footnote>
  <w:footnote w:type="continuationSeparator" w:id="0">
    <w:p w:rsidR="002D69E0" w:rsidRDefault="002D69E0" w:rsidP="00D274CD">
      <w:pPr>
        <w:spacing w:line="240" w:lineRule="auto"/>
      </w:pPr>
      <w:r>
        <w:continuationSeparator/>
      </w:r>
    </w:p>
  </w:footnote>
  <w:footnote w:id="1">
    <w:p w:rsidR="0053189F" w:rsidRDefault="0053189F" w:rsidP="00341D21">
      <w:pPr>
        <w:pStyle w:val="FootnoteText"/>
      </w:pPr>
      <w:r>
        <w:rPr>
          <w:rStyle w:val="FootnoteReference"/>
        </w:rPr>
        <w:footnoteRef/>
      </w:r>
      <w:r>
        <w:t xml:space="preserve"> P.C.A. 3260</w:t>
      </w:r>
      <w:r w:rsidR="00341D21">
        <w:t>/10</w:t>
      </w:r>
      <w:r>
        <w:t xml:space="preserve"> Lloyds Underwriters v. </w:t>
      </w:r>
      <w:proofErr w:type="spellStart"/>
      <w:r>
        <w:t>Eliha</w:t>
      </w:r>
      <w:proofErr w:type="spellEnd"/>
      <w:r>
        <w:t xml:space="preserve"> </w:t>
      </w:r>
      <w:proofErr w:type="spellStart"/>
      <w:r>
        <w:t>Slutzky</w:t>
      </w:r>
      <w:proofErr w:type="spell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4CD" w:rsidRDefault="00D274CD">
    <w:pPr>
      <w:pStyle w:val="Header"/>
      <w:jc w:val="center"/>
    </w:pPr>
    <w:r>
      <w:fldChar w:fldCharType="begin"/>
    </w:r>
    <w:r>
      <w:instrText xml:space="preserve"> PAGE   \* MERGEFORMAT </w:instrText>
    </w:r>
    <w:r>
      <w:fldChar w:fldCharType="separate"/>
    </w:r>
    <w:r w:rsidR="00906017">
      <w:rPr>
        <w:noProof/>
      </w:rPr>
      <w:t>2</w:t>
    </w:r>
    <w:r>
      <w:rPr>
        <w:noProof/>
      </w:rPr>
      <w:fldChar w:fldCharType="end"/>
    </w:r>
  </w:p>
  <w:p w:rsidR="00D274CD" w:rsidRDefault="00D274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7CB"/>
    <w:rsid w:val="000711DB"/>
    <w:rsid w:val="000A21B5"/>
    <w:rsid w:val="000A2F07"/>
    <w:rsid w:val="001677A2"/>
    <w:rsid w:val="001678CF"/>
    <w:rsid w:val="00280E89"/>
    <w:rsid w:val="002A18A3"/>
    <w:rsid w:val="002D69E0"/>
    <w:rsid w:val="002F706C"/>
    <w:rsid w:val="00341D21"/>
    <w:rsid w:val="003B1534"/>
    <w:rsid w:val="003B6EDD"/>
    <w:rsid w:val="004118B6"/>
    <w:rsid w:val="00447AEC"/>
    <w:rsid w:val="004804B0"/>
    <w:rsid w:val="004F7050"/>
    <w:rsid w:val="004F7663"/>
    <w:rsid w:val="0053189F"/>
    <w:rsid w:val="0054634A"/>
    <w:rsid w:val="00574BC6"/>
    <w:rsid w:val="00636E88"/>
    <w:rsid w:val="00637C59"/>
    <w:rsid w:val="00654BC4"/>
    <w:rsid w:val="0069109F"/>
    <w:rsid w:val="006B5158"/>
    <w:rsid w:val="007A6A82"/>
    <w:rsid w:val="008F76E2"/>
    <w:rsid w:val="00906017"/>
    <w:rsid w:val="00910BAB"/>
    <w:rsid w:val="00960345"/>
    <w:rsid w:val="009855B9"/>
    <w:rsid w:val="00B52090"/>
    <w:rsid w:val="00B8408D"/>
    <w:rsid w:val="00BC2F1E"/>
    <w:rsid w:val="00CC3E3E"/>
    <w:rsid w:val="00D274CD"/>
    <w:rsid w:val="00D640F7"/>
    <w:rsid w:val="00DB0F24"/>
    <w:rsid w:val="00E52084"/>
    <w:rsid w:val="00F9502C"/>
    <w:rsid w:val="00FA07CB"/>
    <w:rsid w:val="00FE50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084"/>
    <w:pPr>
      <w:spacing w:line="320" w:lineRule="exact"/>
      <w:jc w:val="both"/>
    </w:pPr>
    <w:rPr>
      <w:sz w:val="24"/>
      <w:szCs w:val="24"/>
      <w:lang w:val="en-US"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avid14">
    <w:name w:val="סגנון (מורכב) David ‏14 נק"/>
    <w:rsid w:val="00B8408D"/>
    <w:rPr>
      <w:rFonts w:cs="David"/>
      <w:sz w:val="28"/>
      <w:szCs w:val="28"/>
    </w:rPr>
  </w:style>
  <w:style w:type="paragraph" w:styleId="Header">
    <w:name w:val="header"/>
    <w:basedOn w:val="Normal"/>
    <w:link w:val="HeaderChar"/>
    <w:uiPriority w:val="99"/>
    <w:rsid w:val="00D274CD"/>
    <w:pPr>
      <w:tabs>
        <w:tab w:val="center" w:pos="4153"/>
        <w:tab w:val="right" w:pos="8306"/>
      </w:tabs>
    </w:pPr>
  </w:style>
  <w:style w:type="character" w:customStyle="1" w:styleId="HeaderChar">
    <w:name w:val="Header Char"/>
    <w:link w:val="Header"/>
    <w:uiPriority w:val="99"/>
    <w:rsid w:val="00D274CD"/>
    <w:rPr>
      <w:sz w:val="24"/>
      <w:szCs w:val="24"/>
    </w:rPr>
  </w:style>
  <w:style w:type="paragraph" w:styleId="Footer">
    <w:name w:val="footer"/>
    <w:basedOn w:val="Normal"/>
    <w:link w:val="FooterChar"/>
    <w:rsid w:val="00D274CD"/>
    <w:pPr>
      <w:tabs>
        <w:tab w:val="center" w:pos="4153"/>
        <w:tab w:val="right" w:pos="8306"/>
      </w:tabs>
    </w:pPr>
  </w:style>
  <w:style w:type="character" w:customStyle="1" w:styleId="FooterChar">
    <w:name w:val="Footer Char"/>
    <w:link w:val="Footer"/>
    <w:rsid w:val="00D274CD"/>
    <w:rPr>
      <w:sz w:val="24"/>
      <w:szCs w:val="24"/>
    </w:rPr>
  </w:style>
  <w:style w:type="paragraph" w:styleId="FootnoteText">
    <w:name w:val="footnote text"/>
    <w:basedOn w:val="Normal"/>
    <w:link w:val="FootnoteTextChar"/>
    <w:rsid w:val="0054634A"/>
    <w:rPr>
      <w:sz w:val="20"/>
      <w:szCs w:val="20"/>
    </w:rPr>
  </w:style>
  <w:style w:type="character" w:customStyle="1" w:styleId="FootnoteTextChar">
    <w:name w:val="Footnote Text Char"/>
    <w:basedOn w:val="DefaultParagraphFont"/>
    <w:link w:val="FootnoteText"/>
    <w:rsid w:val="0054634A"/>
  </w:style>
  <w:style w:type="character" w:styleId="FootnoteReference">
    <w:name w:val="footnote reference"/>
    <w:rsid w:val="0054634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blank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69CBE98-93C1-40B3-ABD8-92B289811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blankeng</Template>
  <TotalTime>0</TotalTime>
  <Pages>2</Pages>
  <Words>606</Words>
  <Characters>3458</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newsletter</vt:lpstr>
      <vt:lpstr>newsletter</vt:lpstr>
    </vt:vector>
  </TitlesOfParts>
  <Company>Hewlett-Packard</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עו"ד לויתן שרון ושות'</dc:creator>
  <cp:keywords>2\44368</cp:keywords>
  <dc:description>2\44368</dc:description>
  <cp:lastModifiedBy>User</cp:lastModifiedBy>
  <cp:revision>2</cp:revision>
  <cp:lastPrinted>2013-09-17T10:33:00Z</cp:lastPrinted>
  <dcterms:created xsi:type="dcterms:W3CDTF">2013-10-02T15:00:00Z</dcterms:created>
  <dcterms:modified xsi:type="dcterms:W3CDTF">2013-10-02T15:00:00Z</dcterms:modified>
</cp:coreProperties>
</file>