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FCE" w:rsidRPr="001055B5" w:rsidRDefault="00212FCE" w:rsidP="005B1DA4">
      <w:pPr>
        <w:pStyle w:val="Listenabsatz"/>
        <w:spacing w:after="0" w:line="360" w:lineRule="auto"/>
        <w:ind w:left="1080"/>
        <w:jc w:val="center"/>
        <w:rPr>
          <w:rFonts w:ascii="Times New Roman" w:hAnsi="Times New Roman" w:cs="Times New Roman"/>
          <w:sz w:val="24"/>
          <w:szCs w:val="24"/>
        </w:rPr>
      </w:pPr>
      <w:bookmarkStart w:id="0" w:name="_GoBack"/>
      <w:bookmarkEnd w:id="0"/>
    </w:p>
    <w:p w:rsidR="00212FCE" w:rsidRPr="001055B5" w:rsidRDefault="00212FCE" w:rsidP="005B1DA4">
      <w:pPr>
        <w:pStyle w:val="Listenabsatz"/>
        <w:spacing w:after="0" w:line="360" w:lineRule="auto"/>
        <w:ind w:left="1080"/>
        <w:jc w:val="center"/>
        <w:rPr>
          <w:rFonts w:ascii="Times New Roman" w:hAnsi="Times New Roman" w:cs="Times New Roman"/>
          <w:sz w:val="24"/>
          <w:szCs w:val="24"/>
        </w:rPr>
      </w:pPr>
    </w:p>
    <w:p w:rsidR="00212FCE" w:rsidRPr="001055B5" w:rsidRDefault="00212FCE" w:rsidP="005B1DA4">
      <w:pPr>
        <w:pStyle w:val="Listenabsatz"/>
        <w:spacing w:after="0" w:line="360" w:lineRule="auto"/>
        <w:ind w:left="1080"/>
        <w:jc w:val="center"/>
        <w:rPr>
          <w:rFonts w:ascii="Times New Roman" w:hAnsi="Times New Roman" w:cs="Times New Roman"/>
          <w:sz w:val="24"/>
          <w:szCs w:val="24"/>
        </w:rPr>
      </w:pPr>
    </w:p>
    <w:p w:rsidR="00212FCE" w:rsidRPr="00AE5951" w:rsidRDefault="00AE5951" w:rsidP="005B1DA4">
      <w:pPr>
        <w:pStyle w:val="Listenabsatz"/>
        <w:spacing w:after="0" w:line="360" w:lineRule="auto"/>
        <w:ind w:left="1080"/>
        <w:jc w:val="center"/>
        <w:rPr>
          <w:rFonts w:ascii="Times New Roman" w:hAnsi="Times New Roman" w:cs="Times New Roman"/>
          <w:b/>
          <w:sz w:val="24"/>
          <w:szCs w:val="24"/>
        </w:rPr>
      </w:pPr>
      <w:r w:rsidRPr="00AE5951">
        <w:rPr>
          <w:rFonts w:ascii="Times New Roman" w:hAnsi="Times New Roman" w:cs="Times New Roman"/>
          <w:b/>
          <w:sz w:val="24"/>
          <w:szCs w:val="24"/>
        </w:rPr>
        <w:t>Working paper</w:t>
      </w:r>
      <w:r w:rsidR="00503338">
        <w:rPr>
          <w:rFonts w:ascii="Times New Roman" w:hAnsi="Times New Roman" w:cs="Times New Roman"/>
          <w:b/>
          <w:sz w:val="24"/>
          <w:szCs w:val="24"/>
        </w:rPr>
        <w:t xml:space="preserve"> for the </w:t>
      </w:r>
      <w:r w:rsidR="00503338" w:rsidRPr="00503338">
        <w:rPr>
          <w:rFonts w:ascii="Times New Roman" w:hAnsi="Times New Roman" w:cs="Times New Roman"/>
          <w:b/>
          <w:sz w:val="24"/>
          <w:szCs w:val="24"/>
        </w:rPr>
        <w:t>Vth AIDA Europe Conference</w:t>
      </w:r>
    </w:p>
    <w:p w:rsidR="00BB7B3E" w:rsidRPr="001055B5" w:rsidRDefault="00BB7B3E" w:rsidP="005B1DA4">
      <w:pPr>
        <w:pStyle w:val="Listenabsatz"/>
        <w:spacing w:after="0" w:line="360" w:lineRule="auto"/>
        <w:ind w:left="1080"/>
        <w:jc w:val="center"/>
        <w:rPr>
          <w:rFonts w:ascii="Times New Roman" w:hAnsi="Times New Roman" w:cs="Times New Roman"/>
          <w:sz w:val="24"/>
          <w:szCs w:val="24"/>
        </w:rPr>
      </w:pPr>
    </w:p>
    <w:p w:rsidR="00105AF2" w:rsidRPr="001055B5" w:rsidRDefault="00B41A8F" w:rsidP="005B1DA4">
      <w:pPr>
        <w:pStyle w:val="Listenabsatz"/>
        <w:spacing w:after="0" w:line="360" w:lineRule="auto"/>
        <w:ind w:left="1080"/>
        <w:jc w:val="center"/>
        <w:rPr>
          <w:rFonts w:ascii="Times New Roman" w:hAnsi="Times New Roman" w:cs="Times New Roman"/>
          <w:b/>
          <w:sz w:val="28"/>
          <w:szCs w:val="28"/>
        </w:rPr>
      </w:pPr>
      <w:r w:rsidRPr="001055B5">
        <w:rPr>
          <w:rFonts w:ascii="Times New Roman" w:hAnsi="Times New Roman" w:cs="Times New Roman"/>
          <w:b/>
          <w:sz w:val="28"/>
          <w:szCs w:val="28"/>
        </w:rPr>
        <w:t xml:space="preserve">Solvency II and its impact on </w:t>
      </w:r>
      <w:r w:rsidR="00BB61C3" w:rsidRPr="001055B5">
        <w:rPr>
          <w:rFonts w:ascii="Times New Roman" w:hAnsi="Times New Roman" w:cs="Times New Roman"/>
          <w:b/>
          <w:sz w:val="28"/>
          <w:szCs w:val="28"/>
        </w:rPr>
        <w:t>discontinued business</w:t>
      </w:r>
      <w:r w:rsidR="00C26719" w:rsidRPr="001055B5">
        <w:rPr>
          <w:rFonts w:ascii="Times New Roman" w:hAnsi="Times New Roman" w:cs="Times New Roman"/>
          <w:b/>
          <w:sz w:val="28"/>
          <w:szCs w:val="28"/>
        </w:rPr>
        <w:t xml:space="preserve"> in non-life insurance</w:t>
      </w:r>
    </w:p>
    <w:p w:rsidR="00BB61C3" w:rsidRPr="001055B5" w:rsidRDefault="00BB61C3" w:rsidP="005B1DA4">
      <w:pPr>
        <w:pStyle w:val="Listenabsatz"/>
        <w:spacing w:after="0" w:line="360" w:lineRule="auto"/>
        <w:ind w:left="1080"/>
        <w:jc w:val="center"/>
        <w:rPr>
          <w:rFonts w:ascii="Times New Roman" w:hAnsi="Times New Roman" w:cs="Times New Roman"/>
          <w:sz w:val="24"/>
          <w:szCs w:val="24"/>
        </w:rPr>
      </w:pPr>
      <w:r w:rsidRPr="001055B5">
        <w:rPr>
          <w:rFonts w:ascii="Times New Roman" w:hAnsi="Times New Roman" w:cs="Times New Roman"/>
          <w:sz w:val="24"/>
          <w:szCs w:val="24"/>
        </w:rPr>
        <w:t xml:space="preserve"> Oleksandr Khomenko*</w:t>
      </w:r>
    </w:p>
    <w:p w:rsidR="00BB61C3" w:rsidRPr="001055B5" w:rsidRDefault="00BB61C3" w:rsidP="005B1DA4">
      <w:pPr>
        <w:spacing w:after="0" w:line="360" w:lineRule="auto"/>
        <w:rPr>
          <w:rFonts w:ascii="Times New Roman" w:hAnsi="Times New Roman" w:cs="Times New Roman"/>
          <w:b/>
          <w:sz w:val="24"/>
          <w:szCs w:val="24"/>
        </w:rPr>
      </w:pPr>
    </w:p>
    <w:p w:rsidR="00BB61C3" w:rsidRPr="001055B5" w:rsidRDefault="00BB61C3" w:rsidP="005B1DA4">
      <w:pPr>
        <w:spacing w:after="0" w:line="360" w:lineRule="auto"/>
        <w:rPr>
          <w:rFonts w:ascii="Times New Roman" w:hAnsi="Times New Roman" w:cs="Times New Roman"/>
          <w:b/>
          <w:sz w:val="24"/>
          <w:szCs w:val="24"/>
        </w:rPr>
      </w:pPr>
    </w:p>
    <w:p w:rsidR="00BB61C3" w:rsidRPr="001055B5" w:rsidRDefault="00BB61C3" w:rsidP="005B1DA4">
      <w:pPr>
        <w:spacing w:after="0" w:line="360" w:lineRule="auto"/>
        <w:rPr>
          <w:rFonts w:ascii="Times New Roman" w:hAnsi="Times New Roman" w:cs="Times New Roman"/>
          <w:b/>
          <w:sz w:val="24"/>
          <w:szCs w:val="24"/>
        </w:rPr>
      </w:pPr>
    </w:p>
    <w:p w:rsidR="00BB61C3" w:rsidRPr="001055B5" w:rsidRDefault="00BB61C3" w:rsidP="005B1DA4">
      <w:pPr>
        <w:spacing w:after="0" w:line="360" w:lineRule="auto"/>
        <w:rPr>
          <w:rFonts w:ascii="Times New Roman" w:hAnsi="Times New Roman" w:cs="Times New Roman"/>
          <w:b/>
          <w:sz w:val="24"/>
          <w:szCs w:val="24"/>
        </w:rPr>
      </w:pPr>
    </w:p>
    <w:p w:rsidR="00BB61C3" w:rsidRPr="001055B5" w:rsidRDefault="00BB61C3" w:rsidP="005B1DA4">
      <w:pPr>
        <w:spacing w:after="0" w:line="360" w:lineRule="auto"/>
        <w:rPr>
          <w:rFonts w:ascii="Times New Roman" w:hAnsi="Times New Roman" w:cs="Times New Roman"/>
          <w:b/>
          <w:sz w:val="24"/>
          <w:szCs w:val="24"/>
        </w:rPr>
      </w:pPr>
    </w:p>
    <w:p w:rsidR="00BB61C3" w:rsidRPr="001055B5" w:rsidRDefault="00BB61C3" w:rsidP="005B1DA4">
      <w:pPr>
        <w:spacing w:after="0" w:line="360" w:lineRule="auto"/>
        <w:rPr>
          <w:rFonts w:ascii="Times New Roman" w:hAnsi="Times New Roman" w:cs="Times New Roman"/>
          <w:b/>
          <w:sz w:val="24"/>
          <w:szCs w:val="24"/>
        </w:rPr>
      </w:pPr>
    </w:p>
    <w:p w:rsidR="00BB61C3" w:rsidRPr="001055B5" w:rsidRDefault="00BB61C3" w:rsidP="005B1DA4">
      <w:pPr>
        <w:spacing w:after="0" w:line="360" w:lineRule="auto"/>
        <w:rPr>
          <w:rFonts w:ascii="Times New Roman" w:hAnsi="Times New Roman" w:cs="Times New Roman"/>
          <w:b/>
          <w:sz w:val="24"/>
          <w:szCs w:val="24"/>
        </w:rPr>
      </w:pPr>
    </w:p>
    <w:p w:rsidR="00BB61C3" w:rsidRPr="001055B5" w:rsidRDefault="00BB61C3" w:rsidP="005B1DA4">
      <w:pPr>
        <w:spacing w:after="0" w:line="360" w:lineRule="auto"/>
        <w:rPr>
          <w:rFonts w:ascii="Times New Roman" w:hAnsi="Times New Roman" w:cs="Times New Roman"/>
          <w:b/>
          <w:sz w:val="24"/>
          <w:szCs w:val="24"/>
        </w:rPr>
      </w:pPr>
    </w:p>
    <w:p w:rsidR="00BB61C3" w:rsidRPr="001055B5" w:rsidRDefault="00BB61C3" w:rsidP="005B1DA4">
      <w:pPr>
        <w:spacing w:after="0" w:line="360" w:lineRule="auto"/>
        <w:rPr>
          <w:rFonts w:ascii="Times New Roman" w:hAnsi="Times New Roman" w:cs="Times New Roman"/>
          <w:b/>
          <w:sz w:val="24"/>
          <w:szCs w:val="24"/>
        </w:rPr>
      </w:pPr>
    </w:p>
    <w:p w:rsidR="00BB61C3" w:rsidRPr="001055B5" w:rsidRDefault="00BB61C3" w:rsidP="005B1DA4">
      <w:pPr>
        <w:spacing w:after="0" w:line="360" w:lineRule="auto"/>
        <w:rPr>
          <w:rFonts w:ascii="Times New Roman" w:hAnsi="Times New Roman" w:cs="Times New Roman"/>
          <w:b/>
          <w:sz w:val="24"/>
          <w:szCs w:val="24"/>
        </w:rPr>
      </w:pPr>
    </w:p>
    <w:p w:rsidR="00BB61C3" w:rsidRPr="001055B5" w:rsidRDefault="00BB61C3" w:rsidP="005B1DA4">
      <w:pPr>
        <w:spacing w:after="0" w:line="360" w:lineRule="auto"/>
        <w:rPr>
          <w:rFonts w:ascii="Times New Roman" w:hAnsi="Times New Roman" w:cs="Times New Roman"/>
          <w:b/>
          <w:sz w:val="24"/>
          <w:szCs w:val="24"/>
        </w:rPr>
      </w:pPr>
    </w:p>
    <w:p w:rsidR="00BB61C3" w:rsidRPr="001055B5" w:rsidRDefault="00BB61C3" w:rsidP="005B1DA4">
      <w:pPr>
        <w:spacing w:after="0" w:line="360" w:lineRule="auto"/>
        <w:rPr>
          <w:rFonts w:ascii="Times New Roman" w:hAnsi="Times New Roman" w:cs="Times New Roman"/>
          <w:b/>
          <w:sz w:val="24"/>
          <w:szCs w:val="24"/>
        </w:rPr>
      </w:pPr>
    </w:p>
    <w:p w:rsidR="005B1DA4" w:rsidRPr="001055B5" w:rsidRDefault="005B1DA4" w:rsidP="005B1DA4">
      <w:pPr>
        <w:spacing w:after="0" w:line="360" w:lineRule="auto"/>
        <w:rPr>
          <w:rFonts w:ascii="Times New Roman" w:hAnsi="Times New Roman" w:cs="Times New Roman"/>
          <w:b/>
          <w:sz w:val="24"/>
          <w:szCs w:val="24"/>
        </w:rPr>
      </w:pPr>
    </w:p>
    <w:p w:rsidR="005B1DA4" w:rsidRPr="001055B5" w:rsidRDefault="005B1DA4" w:rsidP="005B1DA4">
      <w:pPr>
        <w:spacing w:after="0" w:line="360" w:lineRule="auto"/>
        <w:rPr>
          <w:rFonts w:ascii="Times New Roman" w:hAnsi="Times New Roman" w:cs="Times New Roman"/>
          <w:b/>
          <w:sz w:val="24"/>
          <w:szCs w:val="24"/>
        </w:rPr>
      </w:pPr>
    </w:p>
    <w:p w:rsidR="005B1DA4" w:rsidRPr="001055B5" w:rsidRDefault="005B1DA4" w:rsidP="005B1DA4">
      <w:pPr>
        <w:spacing w:after="0" w:line="360" w:lineRule="auto"/>
        <w:rPr>
          <w:rFonts w:ascii="Times New Roman" w:hAnsi="Times New Roman" w:cs="Times New Roman"/>
          <w:b/>
          <w:sz w:val="24"/>
          <w:szCs w:val="24"/>
        </w:rPr>
      </w:pPr>
    </w:p>
    <w:p w:rsidR="005B1DA4" w:rsidRPr="001055B5" w:rsidRDefault="005B1DA4" w:rsidP="005B1DA4">
      <w:pPr>
        <w:spacing w:after="0" w:line="360" w:lineRule="auto"/>
        <w:rPr>
          <w:rFonts w:ascii="Times New Roman" w:hAnsi="Times New Roman" w:cs="Times New Roman"/>
          <w:b/>
          <w:sz w:val="24"/>
          <w:szCs w:val="24"/>
        </w:rPr>
      </w:pPr>
    </w:p>
    <w:p w:rsidR="005B1DA4" w:rsidRPr="001055B5" w:rsidRDefault="005B1DA4" w:rsidP="005B1DA4">
      <w:pPr>
        <w:spacing w:after="0" w:line="360" w:lineRule="auto"/>
        <w:rPr>
          <w:rFonts w:ascii="Times New Roman" w:hAnsi="Times New Roman" w:cs="Times New Roman"/>
          <w:b/>
          <w:sz w:val="24"/>
          <w:szCs w:val="24"/>
        </w:rPr>
      </w:pPr>
    </w:p>
    <w:p w:rsidR="005B1DA4" w:rsidRPr="001055B5" w:rsidRDefault="005B1DA4" w:rsidP="005B1DA4">
      <w:pPr>
        <w:spacing w:after="0" w:line="360" w:lineRule="auto"/>
        <w:rPr>
          <w:rFonts w:ascii="Times New Roman" w:hAnsi="Times New Roman" w:cs="Times New Roman"/>
          <w:b/>
          <w:sz w:val="24"/>
          <w:szCs w:val="24"/>
        </w:rPr>
      </w:pPr>
    </w:p>
    <w:p w:rsidR="005B1DA4" w:rsidRPr="001055B5" w:rsidRDefault="005B1DA4" w:rsidP="005B1DA4">
      <w:pPr>
        <w:spacing w:after="0" w:line="360" w:lineRule="auto"/>
        <w:rPr>
          <w:rFonts w:ascii="Times New Roman" w:hAnsi="Times New Roman" w:cs="Times New Roman"/>
          <w:b/>
          <w:sz w:val="24"/>
          <w:szCs w:val="24"/>
        </w:rPr>
      </w:pPr>
    </w:p>
    <w:p w:rsidR="00BB61C3" w:rsidRPr="001055B5" w:rsidRDefault="00BB61C3" w:rsidP="005B1DA4">
      <w:pPr>
        <w:spacing w:after="0" w:line="360" w:lineRule="auto"/>
        <w:rPr>
          <w:rFonts w:ascii="Times New Roman" w:hAnsi="Times New Roman" w:cs="Times New Roman"/>
          <w:b/>
          <w:sz w:val="24"/>
          <w:szCs w:val="24"/>
        </w:rPr>
      </w:pPr>
    </w:p>
    <w:p w:rsidR="00BB61C3" w:rsidRPr="001055B5" w:rsidRDefault="00BB61C3" w:rsidP="005B1DA4">
      <w:pPr>
        <w:spacing w:after="0" w:line="360" w:lineRule="auto"/>
        <w:rPr>
          <w:rFonts w:ascii="Times New Roman" w:hAnsi="Times New Roman" w:cs="Times New Roman"/>
          <w:sz w:val="20"/>
          <w:szCs w:val="20"/>
        </w:rPr>
      </w:pPr>
      <w:r w:rsidRPr="001055B5">
        <w:rPr>
          <w:rFonts w:ascii="Times New Roman" w:hAnsi="Times New Roman" w:cs="Times New Roman"/>
          <w:sz w:val="20"/>
          <w:szCs w:val="20"/>
        </w:rPr>
        <w:t xml:space="preserve">*Master of International and Comparative Law, Doctoral student at </w:t>
      </w:r>
      <w:r w:rsidR="00580D0D" w:rsidRPr="001055B5">
        <w:rPr>
          <w:rFonts w:ascii="Times New Roman" w:hAnsi="Times New Roman" w:cs="Times New Roman"/>
          <w:sz w:val="20"/>
          <w:szCs w:val="20"/>
        </w:rPr>
        <w:t xml:space="preserve">the </w:t>
      </w:r>
      <w:r w:rsidR="002D445D" w:rsidRPr="001055B5">
        <w:rPr>
          <w:rFonts w:ascii="Times New Roman" w:hAnsi="Times New Roman" w:cs="Times New Roman"/>
          <w:sz w:val="20"/>
          <w:szCs w:val="20"/>
        </w:rPr>
        <w:t>Department of Accounting and</w:t>
      </w:r>
      <w:r w:rsidRPr="001055B5">
        <w:rPr>
          <w:rFonts w:ascii="Times New Roman" w:hAnsi="Times New Roman" w:cs="Times New Roman"/>
          <w:sz w:val="20"/>
          <w:szCs w:val="20"/>
        </w:rPr>
        <w:t xml:space="preserve"> Commercial Law</w:t>
      </w:r>
      <w:r w:rsidR="002D445D" w:rsidRPr="001055B5">
        <w:rPr>
          <w:rFonts w:ascii="Times New Roman" w:hAnsi="Times New Roman" w:cs="Times New Roman"/>
          <w:sz w:val="20"/>
          <w:szCs w:val="20"/>
        </w:rPr>
        <w:t>,</w:t>
      </w:r>
      <w:r w:rsidRPr="001055B5">
        <w:rPr>
          <w:rFonts w:ascii="Times New Roman" w:hAnsi="Times New Roman" w:cs="Times New Roman"/>
          <w:sz w:val="20"/>
          <w:szCs w:val="20"/>
        </w:rPr>
        <w:t xml:space="preserve"> Hanken School of Economics</w:t>
      </w:r>
      <w:r w:rsidR="004F339A" w:rsidRPr="001055B5">
        <w:rPr>
          <w:rFonts w:ascii="Times New Roman" w:hAnsi="Times New Roman" w:cs="Times New Roman"/>
          <w:sz w:val="20"/>
          <w:szCs w:val="20"/>
        </w:rPr>
        <w:t xml:space="preserve">, Helsinki, Finland </w:t>
      </w:r>
      <w:r w:rsidRPr="001055B5">
        <w:rPr>
          <w:rFonts w:ascii="Times New Roman" w:hAnsi="Times New Roman" w:cs="Times New Roman"/>
          <w:sz w:val="20"/>
          <w:szCs w:val="20"/>
        </w:rPr>
        <w:t xml:space="preserve"> </w:t>
      </w:r>
    </w:p>
    <w:p w:rsidR="00003AF7" w:rsidRPr="001055B5" w:rsidRDefault="00212FCE" w:rsidP="005B1DA4">
      <w:pPr>
        <w:spacing w:after="0"/>
        <w:jc w:val="center"/>
        <w:rPr>
          <w:rFonts w:ascii="Times New Roman" w:hAnsi="Times New Roman" w:cs="Times New Roman"/>
          <w:b/>
          <w:sz w:val="24"/>
          <w:szCs w:val="24"/>
        </w:rPr>
      </w:pPr>
      <w:r w:rsidRPr="001055B5">
        <w:rPr>
          <w:rFonts w:ascii="Times New Roman" w:hAnsi="Times New Roman" w:cs="Times New Roman"/>
          <w:b/>
          <w:sz w:val="24"/>
          <w:szCs w:val="24"/>
        </w:rPr>
        <w:br w:type="page"/>
      </w:r>
      <w:r w:rsidR="00003AF7" w:rsidRPr="001055B5">
        <w:rPr>
          <w:rFonts w:ascii="Times New Roman" w:hAnsi="Times New Roman" w:cs="Times New Roman"/>
          <w:b/>
          <w:sz w:val="24"/>
          <w:szCs w:val="24"/>
        </w:rPr>
        <w:lastRenderedPageBreak/>
        <w:t>Abstract</w:t>
      </w:r>
    </w:p>
    <w:p w:rsidR="00A578DA" w:rsidRPr="001055B5" w:rsidRDefault="00A578DA" w:rsidP="00A578DA">
      <w:pPr>
        <w:spacing w:after="0"/>
        <w:jc w:val="center"/>
        <w:rPr>
          <w:rFonts w:ascii="Times New Roman" w:hAnsi="Times New Roman" w:cs="Times New Roman"/>
          <w:b/>
          <w:sz w:val="24"/>
          <w:szCs w:val="24"/>
        </w:rPr>
      </w:pPr>
    </w:p>
    <w:p w:rsidR="00A578DA" w:rsidRPr="001055B5" w:rsidRDefault="00A578DA" w:rsidP="00816CE7">
      <w:pPr>
        <w:spacing w:after="0" w:line="360" w:lineRule="auto"/>
        <w:jc w:val="both"/>
        <w:rPr>
          <w:rFonts w:ascii="Times New Roman" w:hAnsi="Times New Roman" w:cs="Times New Roman"/>
          <w:sz w:val="24"/>
          <w:szCs w:val="24"/>
        </w:rPr>
      </w:pPr>
      <w:r w:rsidRPr="001055B5">
        <w:rPr>
          <w:rFonts w:ascii="Times New Roman" w:hAnsi="Times New Roman" w:cs="Times New Roman"/>
          <w:sz w:val="24"/>
          <w:szCs w:val="24"/>
        </w:rPr>
        <w:t xml:space="preserve">In order to harmonise regulation of insurance industry and to increase protection of policyholders, the European Commission has adopted a Directive on the taking-up and pursuit of the business of Insurance and Reinsurance, known as Solvency II. One of the most </w:t>
      </w:r>
      <w:r w:rsidR="00BB0494">
        <w:rPr>
          <w:rFonts w:ascii="Times New Roman" w:hAnsi="Times New Roman" w:cs="Times New Roman"/>
          <w:sz w:val="24"/>
          <w:szCs w:val="24"/>
        </w:rPr>
        <w:t>important</w:t>
      </w:r>
      <w:r w:rsidRPr="001055B5">
        <w:rPr>
          <w:rFonts w:ascii="Times New Roman" w:hAnsi="Times New Roman" w:cs="Times New Roman"/>
          <w:sz w:val="24"/>
          <w:szCs w:val="24"/>
        </w:rPr>
        <w:t xml:space="preserve"> </w:t>
      </w:r>
      <w:r w:rsidR="00BB0494">
        <w:rPr>
          <w:rFonts w:ascii="Times New Roman" w:hAnsi="Times New Roman" w:cs="Times New Roman"/>
          <w:sz w:val="24"/>
          <w:szCs w:val="24"/>
        </w:rPr>
        <w:t>innovations</w:t>
      </w:r>
      <w:r w:rsidRPr="001055B5">
        <w:rPr>
          <w:rFonts w:ascii="Times New Roman" w:hAnsi="Times New Roman" w:cs="Times New Roman"/>
          <w:sz w:val="24"/>
          <w:szCs w:val="24"/>
        </w:rPr>
        <w:t xml:space="preserve"> of the Directive is introduction of </w:t>
      </w:r>
      <w:r w:rsidR="00DB4835">
        <w:rPr>
          <w:rFonts w:ascii="Times New Roman" w:hAnsi="Times New Roman" w:cs="Times New Roman"/>
          <w:sz w:val="24"/>
          <w:szCs w:val="24"/>
        </w:rPr>
        <w:t>a</w:t>
      </w:r>
      <w:r w:rsidRPr="001055B5">
        <w:rPr>
          <w:rFonts w:ascii="Times New Roman" w:hAnsi="Times New Roman" w:cs="Times New Roman"/>
          <w:sz w:val="24"/>
          <w:szCs w:val="24"/>
        </w:rPr>
        <w:t xml:space="preserve"> risk-based </w:t>
      </w:r>
      <w:r w:rsidR="00BB0494">
        <w:rPr>
          <w:rFonts w:ascii="Times New Roman" w:hAnsi="Times New Roman" w:cs="Times New Roman"/>
          <w:sz w:val="24"/>
          <w:szCs w:val="24"/>
        </w:rPr>
        <w:t>solvency model</w:t>
      </w:r>
      <w:r w:rsidRPr="001055B5">
        <w:rPr>
          <w:rFonts w:ascii="Times New Roman" w:hAnsi="Times New Roman" w:cs="Times New Roman"/>
          <w:sz w:val="24"/>
          <w:szCs w:val="24"/>
        </w:rPr>
        <w:t xml:space="preserve">, </w:t>
      </w:r>
      <w:r w:rsidR="001367D2">
        <w:rPr>
          <w:rFonts w:ascii="Times New Roman" w:hAnsi="Times New Roman" w:cs="Times New Roman"/>
          <w:sz w:val="24"/>
          <w:szCs w:val="24"/>
        </w:rPr>
        <w:t xml:space="preserve">according to which </w:t>
      </w:r>
      <w:r w:rsidRPr="001055B5">
        <w:rPr>
          <w:rFonts w:ascii="Times New Roman" w:hAnsi="Times New Roman" w:cs="Times New Roman"/>
          <w:sz w:val="24"/>
          <w:szCs w:val="24"/>
        </w:rPr>
        <w:t>insurers</w:t>
      </w:r>
      <w:r w:rsidR="001367D2">
        <w:rPr>
          <w:rFonts w:ascii="Times New Roman" w:hAnsi="Times New Roman" w:cs="Times New Roman"/>
          <w:sz w:val="24"/>
          <w:szCs w:val="24"/>
        </w:rPr>
        <w:t xml:space="preserve"> are required</w:t>
      </w:r>
      <w:r w:rsidRPr="001055B5">
        <w:rPr>
          <w:rFonts w:ascii="Times New Roman" w:hAnsi="Times New Roman" w:cs="Times New Roman"/>
          <w:sz w:val="24"/>
          <w:szCs w:val="24"/>
        </w:rPr>
        <w:t xml:space="preserve"> to allocate capital against certain categories of </w:t>
      </w:r>
      <w:r w:rsidR="00EC050F">
        <w:rPr>
          <w:rFonts w:ascii="Times New Roman" w:hAnsi="Times New Roman" w:cs="Times New Roman"/>
          <w:sz w:val="24"/>
          <w:szCs w:val="24"/>
        </w:rPr>
        <w:t xml:space="preserve">their </w:t>
      </w:r>
      <w:r w:rsidRPr="001055B5">
        <w:rPr>
          <w:rFonts w:ascii="Times New Roman" w:hAnsi="Times New Roman" w:cs="Times New Roman"/>
          <w:sz w:val="24"/>
          <w:szCs w:val="24"/>
        </w:rPr>
        <w:t xml:space="preserve">risks. This results in higher capital charge for </w:t>
      </w:r>
      <w:r w:rsidR="009A7A49">
        <w:rPr>
          <w:rFonts w:ascii="Times New Roman" w:hAnsi="Times New Roman" w:cs="Times New Roman"/>
          <w:sz w:val="24"/>
          <w:szCs w:val="24"/>
        </w:rPr>
        <w:t>many</w:t>
      </w:r>
      <w:r w:rsidRPr="001055B5">
        <w:rPr>
          <w:rFonts w:ascii="Times New Roman" w:hAnsi="Times New Roman" w:cs="Times New Roman"/>
          <w:sz w:val="24"/>
          <w:szCs w:val="24"/>
        </w:rPr>
        <w:t xml:space="preserve"> firms. The impact of the upcoming rules on the </w:t>
      </w:r>
      <w:r w:rsidR="002519DC">
        <w:rPr>
          <w:rFonts w:ascii="Times New Roman" w:hAnsi="Times New Roman" w:cs="Times New Roman"/>
          <w:sz w:val="24"/>
          <w:szCs w:val="24"/>
        </w:rPr>
        <w:t>live</w:t>
      </w:r>
      <w:r w:rsidRPr="001055B5">
        <w:rPr>
          <w:rFonts w:ascii="Times New Roman" w:hAnsi="Times New Roman" w:cs="Times New Roman"/>
          <w:sz w:val="24"/>
          <w:szCs w:val="24"/>
        </w:rPr>
        <w:t xml:space="preserve"> insurance market has been discussed</w:t>
      </w:r>
      <w:r w:rsidR="00EC050F">
        <w:rPr>
          <w:rFonts w:ascii="Times New Roman" w:hAnsi="Times New Roman" w:cs="Times New Roman"/>
          <w:sz w:val="24"/>
          <w:szCs w:val="24"/>
        </w:rPr>
        <w:t xml:space="preserve"> at length</w:t>
      </w:r>
      <w:r w:rsidRPr="001055B5">
        <w:rPr>
          <w:rFonts w:ascii="Times New Roman" w:hAnsi="Times New Roman" w:cs="Times New Roman"/>
          <w:sz w:val="24"/>
          <w:szCs w:val="24"/>
        </w:rPr>
        <w:t xml:space="preserve"> </w:t>
      </w:r>
      <w:r w:rsidR="00EC050F">
        <w:rPr>
          <w:rFonts w:ascii="Times New Roman" w:hAnsi="Times New Roman" w:cs="Times New Roman"/>
          <w:sz w:val="24"/>
          <w:szCs w:val="24"/>
        </w:rPr>
        <w:t>by</w:t>
      </w:r>
      <w:r w:rsidRPr="001055B5">
        <w:rPr>
          <w:rFonts w:ascii="Times New Roman" w:hAnsi="Times New Roman" w:cs="Times New Roman"/>
          <w:sz w:val="24"/>
          <w:szCs w:val="24"/>
        </w:rPr>
        <w:t xml:space="preserve"> academics as well as practitioners. However, Solvency II also affects the inactive business </w:t>
      </w:r>
      <w:r w:rsidR="006E213F">
        <w:rPr>
          <w:rFonts w:ascii="Times New Roman" w:hAnsi="Times New Roman" w:cs="Times New Roman"/>
          <w:sz w:val="24"/>
          <w:szCs w:val="24"/>
        </w:rPr>
        <w:t>i.e. the business</w:t>
      </w:r>
      <w:r w:rsidR="00FE7704">
        <w:rPr>
          <w:rFonts w:ascii="Times New Roman" w:hAnsi="Times New Roman" w:cs="Times New Roman"/>
          <w:sz w:val="24"/>
          <w:szCs w:val="24"/>
        </w:rPr>
        <w:t>,</w:t>
      </w:r>
      <w:r w:rsidR="006E213F">
        <w:rPr>
          <w:rFonts w:ascii="Times New Roman" w:hAnsi="Times New Roman" w:cs="Times New Roman"/>
          <w:sz w:val="24"/>
          <w:szCs w:val="24"/>
        </w:rPr>
        <w:t xml:space="preserve"> </w:t>
      </w:r>
      <w:r w:rsidRPr="001055B5">
        <w:rPr>
          <w:rFonts w:ascii="Times New Roman" w:hAnsi="Times New Roman" w:cs="Times New Roman"/>
          <w:sz w:val="24"/>
          <w:szCs w:val="24"/>
        </w:rPr>
        <w:t xml:space="preserve">underwriting of which for various reasons has been discontinued (so-called run-off). This paper seeks to provide a discussion of the upcoming Solvency II regulation model </w:t>
      </w:r>
      <w:r w:rsidR="00812BA8">
        <w:rPr>
          <w:rFonts w:ascii="Times New Roman" w:hAnsi="Times New Roman" w:cs="Times New Roman"/>
          <w:sz w:val="24"/>
          <w:szCs w:val="24"/>
        </w:rPr>
        <w:t>highlighting</w:t>
      </w:r>
      <w:r w:rsidRPr="001055B5">
        <w:rPr>
          <w:rFonts w:ascii="Times New Roman" w:hAnsi="Times New Roman" w:cs="Times New Roman"/>
          <w:sz w:val="24"/>
          <w:szCs w:val="24"/>
        </w:rPr>
        <w:t xml:space="preserve"> its impact on discontinued business in non-life insurance in</w:t>
      </w:r>
      <w:r w:rsidR="009350C0">
        <w:rPr>
          <w:rFonts w:ascii="Times New Roman" w:hAnsi="Times New Roman" w:cs="Times New Roman"/>
          <w:sz w:val="24"/>
          <w:szCs w:val="24"/>
        </w:rPr>
        <w:t>dustry. Accordingly this article uses</w:t>
      </w:r>
      <w:r w:rsidRPr="001055B5">
        <w:rPr>
          <w:rFonts w:ascii="Times New Roman" w:hAnsi="Times New Roman" w:cs="Times New Roman"/>
          <w:sz w:val="24"/>
          <w:szCs w:val="24"/>
        </w:rPr>
        <w:t xml:space="preserve"> analysis of the current and upcoming solvency legislation together with relevant literature and </w:t>
      </w:r>
      <w:r w:rsidR="009350C0">
        <w:rPr>
          <w:rFonts w:ascii="Times New Roman" w:hAnsi="Times New Roman" w:cs="Times New Roman"/>
          <w:sz w:val="24"/>
          <w:szCs w:val="24"/>
        </w:rPr>
        <w:t xml:space="preserve">various </w:t>
      </w:r>
      <w:r w:rsidRPr="001055B5">
        <w:rPr>
          <w:rFonts w:ascii="Times New Roman" w:hAnsi="Times New Roman" w:cs="Times New Roman"/>
          <w:sz w:val="24"/>
          <w:szCs w:val="24"/>
        </w:rPr>
        <w:t>secondary data.</w:t>
      </w:r>
    </w:p>
    <w:p w:rsidR="00A578DA" w:rsidRPr="001055B5" w:rsidRDefault="00A578DA" w:rsidP="00A578DA">
      <w:pPr>
        <w:spacing w:after="0" w:line="360" w:lineRule="auto"/>
        <w:ind w:firstLine="709"/>
        <w:jc w:val="both"/>
        <w:rPr>
          <w:rFonts w:ascii="Times New Roman" w:hAnsi="Times New Roman" w:cs="Times New Roman"/>
          <w:sz w:val="24"/>
          <w:szCs w:val="24"/>
        </w:rPr>
      </w:pPr>
      <w:r w:rsidRPr="001055B5">
        <w:rPr>
          <w:rFonts w:ascii="Times New Roman" w:hAnsi="Times New Roman" w:cs="Times New Roman"/>
          <w:sz w:val="24"/>
          <w:szCs w:val="24"/>
        </w:rPr>
        <w:t xml:space="preserve">It is shown that the impact of the Solvency II on discontinued insurance </w:t>
      </w:r>
      <w:r w:rsidR="001C49E1">
        <w:rPr>
          <w:rFonts w:ascii="Times New Roman" w:hAnsi="Times New Roman" w:cs="Times New Roman"/>
          <w:sz w:val="24"/>
          <w:szCs w:val="24"/>
        </w:rPr>
        <w:t>goes</w:t>
      </w:r>
      <w:r w:rsidRPr="001055B5">
        <w:rPr>
          <w:rFonts w:ascii="Times New Roman" w:hAnsi="Times New Roman" w:cs="Times New Roman"/>
          <w:sz w:val="24"/>
          <w:szCs w:val="24"/>
        </w:rPr>
        <w:t xml:space="preserve"> beyond the capital requirements. The rules of regulatory supervision and disclosure also have serious ramifications. Thus, apart from generating </w:t>
      </w:r>
      <w:r w:rsidR="0020660B">
        <w:rPr>
          <w:rFonts w:ascii="Times New Roman" w:hAnsi="Times New Roman" w:cs="Times New Roman"/>
          <w:sz w:val="24"/>
          <w:szCs w:val="24"/>
        </w:rPr>
        <w:t>little to no</w:t>
      </w:r>
      <w:r w:rsidRPr="001055B5">
        <w:rPr>
          <w:rFonts w:ascii="Times New Roman" w:hAnsi="Times New Roman" w:cs="Times New Roman"/>
          <w:sz w:val="24"/>
          <w:szCs w:val="24"/>
        </w:rPr>
        <w:t xml:space="preserve"> profit for insurers, a run-off portfolio under Solvency II creates additional pressure on company’s capital and human resources. Consequently passive management of discontinued business is no longer a feasible option for majority o</w:t>
      </w:r>
      <w:r w:rsidR="00C53475">
        <w:rPr>
          <w:rFonts w:ascii="Times New Roman" w:hAnsi="Times New Roman" w:cs="Times New Roman"/>
          <w:sz w:val="24"/>
          <w:szCs w:val="24"/>
        </w:rPr>
        <w:t xml:space="preserve">f the undertakings. Most of them </w:t>
      </w:r>
      <w:r w:rsidR="00755864">
        <w:rPr>
          <w:rFonts w:ascii="Times New Roman" w:hAnsi="Times New Roman" w:cs="Times New Roman"/>
          <w:sz w:val="24"/>
          <w:szCs w:val="24"/>
        </w:rPr>
        <w:t>therefore</w:t>
      </w:r>
      <w:r w:rsidRPr="001055B5">
        <w:rPr>
          <w:rFonts w:ascii="Times New Roman" w:hAnsi="Times New Roman" w:cs="Times New Roman"/>
          <w:sz w:val="24"/>
          <w:szCs w:val="24"/>
        </w:rPr>
        <w:t xml:space="preserve"> will be forced to seriously deal with their run-off books, often for the first time. As a result the demand for active</w:t>
      </w:r>
      <w:r w:rsidR="004610DA">
        <w:rPr>
          <w:rFonts w:ascii="Times New Roman" w:hAnsi="Times New Roman" w:cs="Times New Roman"/>
          <w:sz w:val="24"/>
          <w:szCs w:val="24"/>
        </w:rPr>
        <w:t xml:space="preserve"> </w:t>
      </w:r>
      <w:r w:rsidR="004610DA" w:rsidRPr="001055B5">
        <w:rPr>
          <w:rFonts w:ascii="Times New Roman" w:hAnsi="Times New Roman" w:cs="Times New Roman"/>
          <w:sz w:val="24"/>
          <w:szCs w:val="24"/>
        </w:rPr>
        <w:t>run-off</w:t>
      </w:r>
      <w:r w:rsidRPr="001055B5">
        <w:rPr>
          <w:rFonts w:ascii="Times New Roman" w:hAnsi="Times New Roman" w:cs="Times New Roman"/>
          <w:sz w:val="24"/>
          <w:szCs w:val="24"/>
        </w:rPr>
        <w:t xml:space="preserve"> management and exit options is likely to increase.</w:t>
      </w:r>
    </w:p>
    <w:p w:rsidR="00A578DA" w:rsidRPr="001055B5" w:rsidRDefault="00A578DA" w:rsidP="00A578DA">
      <w:pPr>
        <w:spacing w:after="0" w:line="360" w:lineRule="auto"/>
        <w:ind w:firstLine="709"/>
        <w:jc w:val="both"/>
        <w:rPr>
          <w:rFonts w:ascii="Times New Roman" w:hAnsi="Times New Roman" w:cs="Times New Roman"/>
          <w:sz w:val="24"/>
          <w:szCs w:val="24"/>
        </w:rPr>
      </w:pPr>
      <w:r w:rsidRPr="001055B5">
        <w:rPr>
          <w:rFonts w:ascii="Times New Roman" w:hAnsi="Times New Roman" w:cs="Times New Roman"/>
          <w:sz w:val="24"/>
          <w:szCs w:val="24"/>
        </w:rPr>
        <w:t>Understanding the implications of Solvency II will facilitate the choice of mechanisms for managing discontinued business and underline the importance of proactive dealing with run-off. Considering the lack of attention to the topic of discontinued business, current article is aimed to trigger academic discussion by setting the basis for further discourse.</w:t>
      </w:r>
    </w:p>
    <w:p w:rsidR="0025782E" w:rsidRPr="001055B5" w:rsidRDefault="0025782E" w:rsidP="005B1DA4">
      <w:pPr>
        <w:spacing w:after="0" w:line="360" w:lineRule="auto"/>
        <w:ind w:firstLine="709"/>
        <w:jc w:val="both"/>
        <w:rPr>
          <w:rFonts w:ascii="Times New Roman" w:hAnsi="Times New Roman" w:cs="Times New Roman"/>
          <w:sz w:val="24"/>
          <w:szCs w:val="24"/>
        </w:rPr>
      </w:pPr>
    </w:p>
    <w:p w:rsidR="00883E8E" w:rsidRDefault="00883E8E" w:rsidP="005B1DA4">
      <w:pPr>
        <w:spacing w:after="0" w:line="360" w:lineRule="auto"/>
        <w:ind w:firstLine="709"/>
        <w:jc w:val="both"/>
        <w:rPr>
          <w:rFonts w:ascii="Times New Roman" w:hAnsi="Times New Roman" w:cs="Times New Roman"/>
          <w:sz w:val="24"/>
          <w:szCs w:val="24"/>
        </w:rPr>
      </w:pPr>
    </w:p>
    <w:p w:rsidR="00092E7D" w:rsidRDefault="00092E7D" w:rsidP="005B1DA4">
      <w:pPr>
        <w:spacing w:after="0" w:line="360" w:lineRule="auto"/>
        <w:ind w:firstLine="709"/>
        <w:jc w:val="both"/>
        <w:rPr>
          <w:rFonts w:ascii="Times New Roman" w:hAnsi="Times New Roman" w:cs="Times New Roman"/>
          <w:sz w:val="24"/>
          <w:szCs w:val="24"/>
        </w:rPr>
      </w:pPr>
    </w:p>
    <w:p w:rsidR="00092E7D" w:rsidRPr="001055B5" w:rsidRDefault="00092E7D" w:rsidP="005B1DA4">
      <w:pPr>
        <w:spacing w:after="0" w:line="360" w:lineRule="auto"/>
        <w:ind w:firstLine="709"/>
        <w:jc w:val="both"/>
        <w:rPr>
          <w:rFonts w:ascii="Times New Roman" w:hAnsi="Times New Roman" w:cs="Times New Roman"/>
          <w:sz w:val="24"/>
          <w:szCs w:val="24"/>
        </w:rPr>
      </w:pPr>
    </w:p>
    <w:p w:rsidR="00883E8E" w:rsidRPr="001055B5" w:rsidRDefault="00883E8E" w:rsidP="005B1DA4">
      <w:pPr>
        <w:spacing w:after="0" w:line="360" w:lineRule="auto"/>
        <w:ind w:firstLine="709"/>
        <w:jc w:val="both"/>
        <w:rPr>
          <w:rFonts w:ascii="Times New Roman" w:hAnsi="Times New Roman" w:cs="Times New Roman"/>
          <w:sz w:val="24"/>
          <w:szCs w:val="24"/>
        </w:rPr>
      </w:pPr>
    </w:p>
    <w:p w:rsidR="00883E8E" w:rsidRPr="001055B5" w:rsidRDefault="00883E8E" w:rsidP="005B1DA4">
      <w:pPr>
        <w:spacing w:after="0" w:line="360" w:lineRule="auto"/>
        <w:ind w:firstLine="709"/>
        <w:jc w:val="both"/>
        <w:rPr>
          <w:rFonts w:ascii="Times New Roman" w:hAnsi="Times New Roman" w:cs="Times New Roman"/>
          <w:sz w:val="24"/>
          <w:szCs w:val="24"/>
        </w:rPr>
      </w:pPr>
      <w:r w:rsidRPr="001055B5">
        <w:rPr>
          <w:rFonts w:ascii="Times New Roman" w:hAnsi="Times New Roman" w:cs="Times New Roman"/>
          <w:sz w:val="24"/>
          <w:szCs w:val="24"/>
        </w:rPr>
        <w:t xml:space="preserve">                                  </w:t>
      </w:r>
    </w:p>
    <w:p w:rsidR="00604F21" w:rsidRDefault="00604F21" w:rsidP="009B62BF">
      <w:pPr>
        <w:pStyle w:val="Listenabsatz"/>
        <w:numPr>
          <w:ilvl w:val="0"/>
          <w:numId w:val="9"/>
        </w:numPr>
        <w:spacing w:after="120" w:line="360" w:lineRule="auto"/>
        <w:ind w:left="1077" w:hanging="357"/>
        <w:jc w:val="both"/>
        <w:rPr>
          <w:rFonts w:ascii="Times New Roman" w:hAnsi="Times New Roman" w:cs="Times New Roman"/>
          <w:b/>
          <w:sz w:val="24"/>
          <w:szCs w:val="24"/>
        </w:rPr>
      </w:pPr>
      <w:r w:rsidRPr="001055B5">
        <w:rPr>
          <w:rFonts w:ascii="Times New Roman" w:hAnsi="Times New Roman" w:cs="Times New Roman"/>
          <w:b/>
          <w:sz w:val="24"/>
          <w:szCs w:val="24"/>
        </w:rPr>
        <w:lastRenderedPageBreak/>
        <w:t>Introduction</w:t>
      </w:r>
    </w:p>
    <w:p w:rsidR="00F648DF" w:rsidRPr="001055B5" w:rsidRDefault="00811C28" w:rsidP="0046495A">
      <w:pPr>
        <w:spacing w:after="0" w:line="360" w:lineRule="auto"/>
        <w:jc w:val="both"/>
        <w:rPr>
          <w:rFonts w:ascii="Times New Roman" w:hAnsi="Times New Roman" w:cs="Times New Roman"/>
          <w:sz w:val="24"/>
          <w:szCs w:val="24"/>
        </w:rPr>
      </w:pPr>
      <w:r w:rsidRPr="001055B5">
        <w:rPr>
          <w:rFonts w:ascii="Times New Roman" w:hAnsi="Times New Roman" w:cs="Times New Roman"/>
          <w:sz w:val="24"/>
          <w:szCs w:val="24"/>
        </w:rPr>
        <w:t>The First Directives, coordinating solvency regulation on the EU level, were adopted in the 1970s.</w:t>
      </w:r>
      <w:r w:rsidRPr="001055B5">
        <w:rPr>
          <w:rStyle w:val="Funotenzeichen"/>
          <w:rFonts w:ascii="Times New Roman" w:hAnsi="Times New Roman" w:cs="Times New Roman"/>
          <w:sz w:val="24"/>
          <w:szCs w:val="24"/>
        </w:rPr>
        <w:footnoteReference w:id="1"/>
      </w:r>
      <w:r w:rsidRPr="001055B5">
        <w:rPr>
          <w:rFonts w:ascii="Times New Roman" w:hAnsi="Times New Roman" w:cs="Times New Roman"/>
          <w:sz w:val="24"/>
          <w:szCs w:val="24"/>
        </w:rPr>
        <w:t xml:space="preserve"> They set the basis for minimum harmonisation of insurance rules in order to decrease the differences in national legislation of the member states. Despite their numerous revisions, it became evident during the reform of the insurance legislation in 2002 (known as Solvency I</w:t>
      </w:r>
      <w:bookmarkStart w:id="1" w:name="_Ref419296117"/>
      <w:r w:rsidR="00D44425" w:rsidRPr="001055B5">
        <w:rPr>
          <w:rStyle w:val="Funotenzeichen"/>
          <w:rFonts w:ascii="Times New Roman" w:hAnsi="Times New Roman" w:cs="Times New Roman"/>
          <w:sz w:val="24"/>
          <w:szCs w:val="24"/>
        </w:rPr>
        <w:footnoteReference w:id="2"/>
      </w:r>
      <w:bookmarkEnd w:id="1"/>
      <w:r w:rsidRPr="001055B5">
        <w:rPr>
          <w:rFonts w:ascii="Times New Roman" w:hAnsi="Times New Roman" w:cs="Times New Roman"/>
          <w:sz w:val="24"/>
          <w:szCs w:val="24"/>
        </w:rPr>
        <w:t>) that the current Directives did not provide a necessary level of harmonisation and protection for policyholders. Therefore it was decided to conduct a full-scale review of the existing rules. As a result, the Directive, known as Solvency II, was adopted in 2009.</w:t>
      </w:r>
      <w:bookmarkStart w:id="2" w:name="_Ref419296104"/>
      <w:r w:rsidRPr="001055B5">
        <w:rPr>
          <w:rStyle w:val="Funotenzeichen"/>
          <w:rFonts w:ascii="Times New Roman" w:hAnsi="Times New Roman" w:cs="Times New Roman"/>
          <w:sz w:val="24"/>
          <w:szCs w:val="24"/>
        </w:rPr>
        <w:footnoteReference w:id="3"/>
      </w:r>
      <w:bookmarkEnd w:id="2"/>
      <w:r w:rsidRPr="001055B5">
        <w:rPr>
          <w:rFonts w:ascii="Times New Roman" w:hAnsi="Times New Roman" w:cs="Times New Roman"/>
          <w:sz w:val="24"/>
          <w:szCs w:val="24"/>
        </w:rPr>
        <w:t xml:space="preserve"> According to the latest amendments it will</w:t>
      </w:r>
      <w:r w:rsidR="00247FD9" w:rsidRPr="001055B5">
        <w:rPr>
          <w:rFonts w:ascii="Times New Roman" w:hAnsi="Times New Roman" w:cs="Times New Roman"/>
          <w:sz w:val="24"/>
          <w:szCs w:val="24"/>
        </w:rPr>
        <w:t xml:space="preserve"> fully</w:t>
      </w:r>
      <w:r w:rsidR="00247FD9" w:rsidRPr="001055B5">
        <w:rPr>
          <w:rStyle w:val="Funotenzeichen"/>
          <w:rFonts w:ascii="Times New Roman" w:hAnsi="Times New Roman" w:cs="Times New Roman"/>
          <w:sz w:val="24"/>
          <w:szCs w:val="24"/>
        </w:rPr>
        <w:footnoteReference w:id="4"/>
      </w:r>
      <w:r w:rsidRPr="001055B5">
        <w:rPr>
          <w:rFonts w:ascii="Times New Roman" w:hAnsi="Times New Roman" w:cs="Times New Roman"/>
          <w:sz w:val="24"/>
          <w:szCs w:val="24"/>
        </w:rPr>
        <w:t xml:space="preserve"> enter into force on January 1</w:t>
      </w:r>
      <w:r w:rsidRPr="001055B5">
        <w:rPr>
          <w:rFonts w:ascii="Times New Roman" w:hAnsi="Times New Roman" w:cs="Times New Roman"/>
          <w:sz w:val="24"/>
          <w:szCs w:val="24"/>
          <w:vertAlign w:val="superscript"/>
        </w:rPr>
        <w:t>st</w:t>
      </w:r>
      <w:r w:rsidRPr="001055B5">
        <w:rPr>
          <w:rFonts w:ascii="Times New Roman" w:hAnsi="Times New Roman" w:cs="Times New Roman"/>
          <w:sz w:val="24"/>
          <w:szCs w:val="24"/>
        </w:rPr>
        <w:t xml:space="preserve"> 2016.</w:t>
      </w:r>
      <w:bookmarkStart w:id="3" w:name="_Ref405986621"/>
      <w:r w:rsidRPr="001055B5">
        <w:rPr>
          <w:rStyle w:val="Funotenzeichen"/>
          <w:rFonts w:ascii="Times New Roman" w:hAnsi="Times New Roman" w:cs="Times New Roman"/>
          <w:sz w:val="24"/>
          <w:szCs w:val="24"/>
        </w:rPr>
        <w:footnoteReference w:id="5"/>
      </w:r>
      <w:bookmarkEnd w:id="3"/>
      <w:r w:rsidRPr="001055B5">
        <w:rPr>
          <w:rFonts w:ascii="Times New Roman" w:hAnsi="Times New Roman" w:cs="Times New Roman"/>
          <w:sz w:val="24"/>
          <w:szCs w:val="24"/>
        </w:rPr>
        <w:t xml:space="preserve"> Among the numerous changes, the Directive introduces market</w:t>
      </w:r>
      <w:r w:rsidR="004D3EB1">
        <w:rPr>
          <w:rFonts w:ascii="Times New Roman" w:hAnsi="Times New Roman" w:cs="Times New Roman"/>
          <w:sz w:val="24"/>
          <w:szCs w:val="24"/>
        </w:rPr>
        <w:t>-co</w:t>
      </w:r>
      <w:r w:rsidR="002A76EE">
        <w:rPr>
          <w:rFonts w:ascii="Times New Roman" w:hAnsi="Times New Roman" w:cs="Times New Roman"/>
          <w:sz w:val="24"/>
          <w:szCs w:val="24"/>
        </w:rPr>
        <w:t>nsistent</w:t>
      </w:r>
      <w:r w:rsidRPr="001055B5">
        <w:rPr>
          <w:rFonts w:ascii="Times New Roman" w:hAnsi="Times New Roman" w:cs="Times New Roman"/>
          <w:sz w:val="24"/>
          <w:szCs w:val="24"/>
        </w:rPr>
        <w:t xml:space="preserve"> valuation of assets and risk-based capital requirements for the companies. This means that insurance undertaking</w:t>
      </w:r>
      <w:r w:rsidR="00F50DF6">
        <w:rPr>
          <w:rFonts w:ascii="Times New Roman" w:hAnsi="Times New Roman" w:cs="Times New Roman"/>
          <w:sz w:val="24"/>
          <w:szCs w:val="24"/>
        </w:rPr>
        <w:t>s</w:t>
      </w:r>
      <w:r w:rsidRPr="001055B5">
        <w:rPr>
          <w:rFonts w:ascii="Times New Roman" w:hAnsi="Times New Roman" w:cs="Times New Roman"/>
          <w:sz w:val="24"/>
          <w:szCs w:val="24"/>
        </w:rPr>
        <w:t xml:space="preserve"> will have to </w:t>
      </w:r>
      <w:r w:rsidR="00382165">
        <w:rPr>
          <w:rFonts w:ascii="Times New Roman" w:hAnsi="Times New Roman" w:cs="Times New Roman"/>
          <w:sz w:val="24"/>
          <w:szCs w:val="24"/>
        </w:rPr>
        <w:t>back their risks by</w:t>
      </w:r>
      <w:r w:rsidRPr="001055B5">
        <w:rPr>
          <w:rFonts w:ascii="Times New Roman" w:hAnsi="Times New Roman" w:cs="Times New Roman"/>
          <w:sz w:val="24"/>
          <w:szCs w:val="24"/>
        </w:rPr>
        <w:t xml:space="preserve"> additional</w:t>
      </w:r>
      <w:r w:rsidR="001B7EF6">
        <w:rPr>
          <w:rFonts w:ascii="Times New Roman" w:hAnsi="Times New Roman" w:cs="Times New Roman"/>
          <w:sz w:val="24"/>
          <w:szCs w:val="24"/>
        </w:rPr>
        <w:t xml:space="preserve"> capital</w:t>
      </w:r>
      <w:r w:rsidRPr="001055B5">
        <w:rPr>
          <w:rFonts w:ascii="Times New Roman" w:hAnsi="Times New Roman" w:cs="Times New Roman"/>
          <w:sz w:val="24"/>
          <w:szCs w:val="24"/>
        </w:rPr>
        <w:t xml:space="preserve">. </w:t>
      </w:r>
      <w:r w:rsidR="00F648DF" w:rsidRPr="001055B5">
        <w:rPr>
          <w:rFonts w:ascii="Times New Roman" w:hAnsi="Times New Roman" w:cs="Times New Roman"/>
          <w:sz w:val="24"/>
          <w:szCs w:val="24"/>
        </w:rPr>
        <w:t>T</w:t>
      </w:r>
      <w:r w:rsidRPr="001055B5">
        <w:rPr>
          <w:rFonts w:ascii="Times New Roman" w:hAnsi="Times New Roman" w:cs="Times New Roman"/>
          <w:sz w:val="24"/>
          <w:szCs w:val="24"/>
        </w:rPr>
        <w:t xml:space="preserve">he </w:t>
      </w:r>
      <w:r w:rsidR="00257583" w:rsidRPr="001055B5">
        <w:rPr>
          <w:rFonts w:ascii="Times New Roman" w:hAnsi="Times New Roman" w:cs="Times New Roman"/>
          <w:sz w:val="24"/>
          <w:szCs w:val="24"/>
        </w:rPr>
        <w:t>riskier</w:t>
      </w:r>
      <w:r w:rsidRPr="001055B5">
        <w:rPr>
          <w:rFonts w:ascii="Times New Roman" w:hAnsi="Times New Roman" w:cs="Times New Roman"/>
          <w:sz w:val="24"/>
          <w:szCs w:val="24"/>
        </w:rPr>
        <w:t xml:space="preserve"> </w:t>
      </w:r>
      <w:r w:rsidR="00F648DF" w:rsidRPr="001055B5">
        <w:rPr>
          <w:rFonts w:ascii="Times New Roman" w:hAnsi="Times New Roman" w:cs="Times New Roman"/>
          <w:sz w:val="24"/>
          <w:szCs w:val="24"/>
        </w:rPr>
        <w:t xml:space="preserve">the </w:t>
      </w:r>
      <w:r w:rsidRPr="001055B5">
        <w:rPr>
          <w:rFonts w:ascii="Times New Roman" w:hAnsi="Times New Roman" w:cs="Times New Roman"/>
          <w:sz w:val="24"/>
          <w:szCs w:val="24"/>
        </w:rPr>
        <w:t xml:space="preserve">company’s profile is the more capital it will have to hold to cover its exposure. </w:t>
      </w:r>
    </w:p>
    <w:p w:rsidR="00811C28" w:rsidRPr="001055B5" w:rsidRDefault="00811C28" w:rsidP="005B1DA4">
      <w:pPr>
        <w:spacing w:after="0" w:line="360" w:lineRule="auto"/>
        <w:ind w:firstLine="567"/>
        <w:jc w:val="both"/>
        <w:rPr>
          <w:rFonts w:ascii="Times New Roman" w:hAnsi="Times New Roman" w:cs="Times New Roman"/>
          <w:sz w:val="24"/>
          <w:szCs w:val="24"/>
        </w:rPr>
      </w:pPr>
      <w:r w:rsidRPr="001055B5">
        <w:rPr>
          <w:rFonts w:ascii="Times New Roman" w:hAnsi="Times New Roman" w:cs="Times New Roman"/>
          <w:sz w:val="24"/>
          <w:szCs w:val="24"/>
        </w:rPr>
        <w:t xml:space="preserve">The new legislation </w:t>
      </w:r>
      <w:r w:rsidR="00382553">
        <w:rPr>
          <w:rFonts w:ascii="Times New Roman" w:hAnsi="Times New Roman" w:cs="Times New Roman"/>
          <w:sz w:val="24"/>
          <w:szCs w:val="24"/>
        </w:rPr>
        <w:t xml:space="preserve">does </w:t>
      </w:r>
      <w:r w:rsidRPr="001055B5">
        <w:rPr>
          <w:rFonts w:ascii="Times New Roman" w:hAnsi="Times New Roman" w:cs="Times New Roman"/>
          <w:sz w:val="24"/>
          <w:szCs w:val="24"/>
        </w:rPr>
        <w:t xml:space="preserve">not only </w:t>
      </w:r>
      <w:r w:rsidR="00382553">
        <w:rPr>
          <w:rFonts w:ascii="Times New Roman" w:hAnsi="Times New Roman" w:cs="Times New Roman"/>
          <w:sz w:val="24"/>
          <w:szCs w:val="24"/>
        </w:rPr>
        <w:t>affect</w:t>
      </w:r>
      <w:r w:rsidR="00382553" w:rsidRPr="001055B5">
        <w:rPr>
          <w:rFonts w:ascii="Times New Roman" w:hAnsi="Times New Roman" w:cs="Times New Roman"/>
          <w:sz w:val="24"/>
          <w:szCs w:val="24"/>
        </w:rPr>
        <w:t xml:space="preserve"> </w:t>
      </w:r>
      <w:r w:rsidR="00083DEE">
        <w:rPr>
          <w:rFonts w:ascii="Times New Roman" w:hAnsi="Times New Roman" w:cs="Times New Roman"/>
          <w:sz w:val="24"/>
          <w:szCs w:val="24"/>
        </w:rPr>
        <w:t>live</w:t>
      </w:r>
      <w:r w:rsidRPr="001055B5">
        <w:rPr>
          <w:rFonts w:ascii="Times New Roman" w:hAnsi="Times New Roman" w:cs="Times New Roman"/>
          <w:sz w:val="24"/>
          <w:szCs w:val="24"/>
        </w:rPr>
        <w:t xml:space="preserve"> insurance industry but also discontinued business.</w:t>
      </w:r>
      <w:r w:rsidR="00F648DF" w:rsidRPr="001055B5">
        <w:rPr>
          <w:rFonts w:ascii="Times New Roman" w:hAnsi="Times New Roman" w:cs="Times New Roman"/>
          <w:sz w:val="24"/>
          <w:szCs w:val="24"/>
        </w:rPr>
        <w:t xml:space="preserve"> </w:t>
      </w:r>
      <w:r w:rsidRPr="001055B5">
        <w:rPr>
          <w:rFonts w:ascii="Times New Roman" w:hAnsi="Times New Roman" w:cs="Times New Roman"/>
          <w:sz w:val="24"/>
          <w:szCs w:val="24"/>
        </w:rPr>
        <w:t>In relation to insurance the term ‘discontinued business’ or ‘run-off’ means a part of business underwritten in the past, for which there are still existing obligations (</w:t>
      </w:r>
      <w:r w:rsidR="00B45AFF" w:rsidRPr="001055B5">
        <w:rPr>
          <w:rFonts w:ascii="Times New Roman" w:hAnsi="Times New Roman" w:cs="Times New Roman"/>
          <w:sz w:val="24"/>
          <w:szCs w:val="24"/>
        </w:rPr>
        <w:t>actual and potential insurance liabilities</w:t>
      </w:r>
      <w:r w:rsidRPr="001055B5">
        <w:rPr>
          <w:rFonts w:ascii="Times New Roman" w:hAnsi="Times New Roman" w:cs="Times New Roman"/>
          <w:sz w:val="24"/>
          <w:szCs w:val="24"/>
        </w:rPr>
        <w:t xml:space="preserve">), but no new business is underwritten and </w:t>
      </w:r>
      <w:r w:rsidR="00B45AFF" w:rsidRPr="001055B5">
        <w:rPr>
          <w:rFonts w:ascii="Times New Roman" w:hAnsi="Times New Roman" w:cs="Times New Roman"/>
          <w:sz w:val="24"/>
          <w:szCs w:val="24"/>
        </w:rPr>
        <w:t xml:space="preserve">in most cases </w:t>
      </w:r>
      <w:r w:rsidRPr="001055B5">
        <w:rPr>
          <w:rFonts w:ascii="Times New Roman" w:hAnsi="Times New Roman" w:cs="Times New Roman"/>
          <w:sz w:val="24"/>
          <w:szCs w:val="24"/>
        </w:rPr>
        <w:t>it no longer generates premium income.</w:t>
      </w:r>
      <w:bookmarkStart w:id="4" w:name="_Ref404001186"/>
      <w:r w:rsidRPr="001055B5">
        <w:rPr>
          <w:rStyle w:val="Funotenzeichen"/>
          <w:rFonts w:ascii="Times New Roman" w:hAnsi="Times New Roman" w:cs="Times New Roman"/>
          <w:sz w:val="24"/>
          <w:szCs w:val="24"/>
        </w:rPr>
        <w:footnoteReference w:id="6"/>
      </w:r>
      <w:bookmarkEnd w:id="4"/>
      <w:r w:rsidRPr="001055B5">
        <w:rPr>
          <w:rFonts w:ascii="Times New Roman" w:hAnsi="Times New Roman" w:cs="Times New Roman"/>
          <w:sz w:val="24"/>
          <w:szCs w:val="24"/>
        </w:rPr>
        <w:t xml:space="preserve">  Under the upcoming rules </w:t>
      </w:r>
      <w:r w:rsidR="00B45AFF" w:rsidRPr="001055B5">
        <w:rPr>
          <w:rFonts w:ascii="Times New Roman" w:hAnsi="Times New Roman" w:cs="Times New Roman"/>
          <w:sz w:val="24"/>
          <w:szCs w:val="24"/>
        </w:rPr>
        <w:t xml:space="preserve">majority of </w:t>
      </w:r>
      <w:r w:rsidRPr="001055B5">
        <w:rPr>
          <w:rFonts w:ascii="Times New Roman" w:hAnsi="Times New Roman" w:cs="Times New Roman"/>
          <w:sz w:val="24"/>
          <w:szCs w:val="24"/>
        </w:rPr>
        <w:t xml:space="preserve">insurers will have to allocate </w:t>
      </w:r>
      <w:r w:rsidRPr="001055B5">
        <w:rPr>
          <w:rFonts w:ascii="Times New Roman" w:hAnsi="Times New Roman" w:cs="Times New Roman"/>
          <w:sz w:val="24"/>
          <w:szCs w:val="24"/>
        </w:rPr>
        <w:lastRenderedPageBreak/>
        <w:t xml:space="preserve">additional capital to cover the risk exposure of their discontinued business, resulting in higher capital charge for </w:t>
      </w:r>
      <w:r w:rsidR="00050C0A">
        <w:rPr>
          <w:rFonts w:ascii="Times New Roman" w:hAnsi="Times New Roman" w:cs="Times New Roman"/>
          <w:sz w:val="24"/>
          <w:szCs w:val="24"/>
        </w:rPr>
        <w:t>some companies</w:t>
      </w:r>
      <w:r w:rsidRPr="001055B5">
        <w:rPr>
          <w:rFonts w:ascii="Times New Roman" w:hAnsi="Times New Roman" w:cs="Times New Roman"/>
          <w:sz w:val="24"/>
          <w:szCs w:val="24"/>
        </w:rPr>
        <w:t xml:space="preserve">. </w:t>
      </w:r>
      <w:r w:rsidR="009D3386">
        <w:rPr>
          <w:rFonts w:ascii="Times New Roman" w:hAnsi="Times New Roman" w:cs="Times New Roman"/>
          <w:sz w:val="24"/>
          <w:szCs w:val="24"/>
        </w:rPr>
        <w:t xml:space="preserve">The firms are expected to </w:t>
      </w:r>
      <w:r w:rsidR="0085772C">
        <w:rPr>
          <w:rFonts w:ascii="Times New Roman" w:hAnsi="Times New Roman" w:cs="Times New Roman"/>
          <w:sz w:val="24"/>
          <w:szCs w:val="24"/>
        </w:rPr>
        <w:t>actively resort to the tools for managing</w:t>
      </w:r>
      <w:r w:rsidR="0085772C" w:rsidRPr="001055B5">
        <w:rPr>
          <w:rFonts w:ascii="Times New Roman" w:hAnsi="Times New Roman" w:cs="Times New Roman"/>
          <w:sz w:val="24"/>
          <w:szCs w:val="24"/>
        </w:rPr>
        <w:t xml:space="preserve"> </w:t>
      </w:r>
      <w:r w:rsidR="0085772C">
        <w:rPr>
          <w:rFonts w:ascii="Times New Roman" w:hAnsi="Times New Roman" w:cs="Times New Roman"/>
          <w:sz w:val="24"/>
          <w:szCs w:val="24"/>
        </w:rPr>
        <w:t xml:space="preserve">of </w:t>
      </w:r>
      <w:r w:rsidR="0085772C" w:rsidRPr="001055B5">
        <w:rPr>
          <w:rFonts w:ascii="Times New Roman" w:hAnsi="Times New Roman" w:cs="Times New Roman"/>
          <w:sz w:val="24"/>
          <w:szCs w:val="24"/>
        </w:rPr>
        <w:t>run-off portfolio</w:t>
      </w:r>
      <w:r w:rsidR="0085772C">
        <w:rPr>
          <w:rFonts w:ascii="Times New Roman" w:hAnsi="Times New Roman" w:cs="Times New Roman"/>
          <w:sz w:val="24"/>
          <w:szCs w:val="24"/>
        </w:rPr>
        <w:t>s</w:t>
      </w:r>
      <w:r w:rsidR="0085772C" w:rsidRPr="001055B5">
        <w:rPr>
          <w:rFonts w:ascii="Times New Roman" w:hAnsi="Times New Roman" w:cs="Times New Roman"/>
          <w:sz w:val="24"/>
          <w:szCs w:val="24"/>
        </w:rPr>
        <w:t xml:space="preserve"> </w:t>
      </w:r>
      <w:r w:rsidR="0085772C">
        <w:rPr>
          <w:rFonts w:ascii="Times New Roman" w:hAnsi="Times New Roman" w:cs="Times New Roman"/>
          <w:sz w:val="24"/>
          <w:szCs w:val="24"/>
        </w:rPr>
        <w:t xml:space="preserve">in order to </w:t>
      </w:r>
      <w:r w:rsidR="009D3386">
        <w:rPr>
          <w:rFonts w:ascii="Times New Roman" w:hAnsi="Times New Roman" w:cs="Times New Roman"/>
          <w:sz w:val="24"/>
          <w:szCs w:val="24"/>
        </w:rPr>
        <w:t xml:space="preserve">minimise </w:t>
      </w:r>
      <w:r w:rsidR="0085772C">
        <w:rPr>
          <w:rFonts w:ascii="Times New Roman" w:hAnsi="Times New Roman" w:cs="Times New Roman"/>
          <w:sz w:val="24"/>
          <w:szCs w:val="24"/>
        </w:rPr>
        <w:t xml:space="preserve">their risk exposure, consequently increasing </w:t>
      </w:r>
      <w:r w:rsidRPr="001055B5">
        <w:rPr>
          <w:rFonts w:ascii="Times New Roman" w:hAnsi="Times New Roman" w:cs="Times New Roman"/>
          <w:sz w:val="24"/>
          <w:szCs w:val="24"/>
        </w:rPr>
        <w:t>the im</w:t>
      </w:r>
      <w:r w:rsidR="00E51260">
        <w:rPr>
          <w:rFonts w:ascii="Times New Roman" w:hAnsi="Times New Roman" w:cs="Times New Roman"/>
          <w:sz w:val="24"/>
          <w:szCs w:val="24"/>
        </w:rPr>
        <w:t xml:space="preserve">portance of </w:t>
      </w:r>
      <w:r w:rsidR="002F50E0">
        <w:rPr>
          <w:rFonts w:ascii="Times New Roman" w:hAnsi="Times New Roman" w:cs="Times New Roman"/>
          <w:sz w:val="24"/>
          <w:szCs w:val="24"/>
        </w:rPr>
        <w:t>such tools</w:t>
      </w:r>
      <w:r w:rsidRPr="001055B5">
        <w:rPr>
          <w:rFonts w:ascii="Times New Roman" w:hAnsi="Times New Roman" w:cs="Times New Roman"/>
          <w:sz w:val="24"/>
          <w:szCs w:val="24"/>
        </w:rPr>
        <w:t xml:space="preserve">. </w:t>
      </w:r>
      <w:r w:rsidR="00E7780C">
        <w:rPr>
          <w:rFonts w:ascii="Times New Roman" w:hAnsi="Times New Roman" w:cs="Times New Roman"/>
          <w:sz w:val="24"/>
          <w:szCs w:val="24"/>
        </w:rPr>
        <w:t>I</w:t>
      </w:r>
      <w:r w:rsidRPr="001055B5">
        <w:rPr>
          <w:rFonts w:ascii="Times New Roman" w:hAnsi="Times New Roman" w:cs="Times New Roman"/>
          <w:sz w:val="24"/>
          <w:szCs w:val="24"/>
        </w:rPr>
        <w:t>n order to</w:t>
      </w:r>
      <w:r w:rsidR="00DD48C7" w:rsidRPr="001055B5">
        <w:rPr>
          <w:rFonts w:ascii="Times New Roman" w:hAnsi="Times New Roman" w:cs="Times New Roman"/>
          <w:sz w:val="24"/>
          <w:szCs w:val="24"/>
        </w:rPr>
        <w:t xml:space="preserve"> fully</w:t>
      </w:r>
      <w:r w:rsidRPr="001055B5">
        <w:rPr>
          <w:rFonts w:ascii="Times New Roman" w:hAnsi="Times New Roman" w:cs="Times New Roman"/>
          <w:sz w:val="24"/>
          <w:szCs w:val="24"/>
        </w:rPr>
        <w:t xml:space="preserve"> understand the issue of managing a run</w:t>
      </w:r>
      <w:r w:rsidR="00083D28">
        <w:rPr>
          <w:rFonts w:ascii="Times New Roman" w:hAnsi="Times New Roman" w:cs="Times New Roman"/>
          <w:sz w:val="24"/>
          <w:szCs w:val="24"/>
        </w:rPr>
        <w:t>-off portfolio, it is necessary</w:t>
      </w:r>
      <w:r w:rsidRPr="001055B5">
        <w:rPr>
          <w:rFonts w:ascii="Times New Roman" w:hAnsi="Times New Roman" w:cs="Times New Roman"/>
          <w:sz w:val="24"/>
          <w:szCs w:val="24"/>
        </w:rPr>
        <w:t xml:space="preserve"> to </w:t>
      </w:r>
      <w:r w:rsidR="002A11B9" w:rsidRPr="001055B5">
        <w:rPr>
          <w:rFonts w:ascii="Times New Roman" w:hAnsi="Times New Roman" w:cs="Times New Roman"/>
          <w:sz w:val="24"/>
          <w:szCs w:val="24"/>
        </w:rPr>
        <w:t>realise</w:t>
      </w:r>
      <w:r w:rsidRPr="001055B5">
        <w:rPr>
          <w:rFonts w:ascii="Times New Roman" w:hAnsi="Times New Roman" w:cs="Times New Roman"/>
          <w:sz w:val="24"/>
          <w:szCs w:val="24"/>
        </w:rPr>
        <w:t xml:space="preserve"> the full extent of implications of Solvency II for discontinued business. </w:t>
      </w:r>
    </w:p>
    <w:p w:rsidR="00811C28" w:rsidRPr="001055B5" w:rsidRDefault="00811C28" w:rsidP="005B1DA4">
      <w:pPr>
        <w:spacing w:after="0" w:line="360" w:lineRule="auto"/>
        <w:ind w:firstLine="567"/>
        <w:jc w:val="both"/>
        <w:rPr>
          <w:rFonts w:ascii="Times New Roman" w:hAnsi="Times New Roman" w:cs="Times New Roman"/>
          <w:sz w:val="24"/>
          <w:szCs w:val="24"/>
        </w:rPr>
      </w:pPr>
      <w:r w:rsidRPr="001055B5">
        <w:rPr>
          <w:rFonts w:ascii="Times New Roman" w:hAnsi="Times New Roman" w:cs="Times New Roman"/>
          <w:sz w:val="24"/>
          <w:szCs w:val="24"/>
        </w:rPr>
        <w:t xml:space="preserve">There has been a lack of interest from the academic community to the issue of run-off. It </w:t>
      </w:r>
      <w:r w:rsidR="00082DA9">
        <w:rPr>
          <w:rFonts w:ascii="Times New Roman" w:hAnsi="Times New Roman" w:cs="Times New Roman"/>
          <w:sz w:val="24"/>
          <w:szCs w:val="24"/>
        </w:rPr>
        <w:t>i</w:t>
      </w:r>
      <w:r w:rsidR="00234A40" w:rsidRPr="001055B5">
        <w:rPr>
          <w:rFonts w:ascii="Times New Roman" w:hAnsi="Times New Roman" w:cs="Times New Roman"/>
          <w:sz w:val="24"/>
          <w:szCs w:val="24"/>
        </w:rPr>
        <w:t>s</w:t>
      </w:r>
      <w:r w:rsidRPr="001055B5">
        <w:rPr>
          <w:rFonts w:ascii="Times New Roman" w:hAnsi="Times New Roman" w:cs="Times New Roman"/>
          <w:sz w:val="24"/>
          <w:szCs w:val="24"/>
        </w:rPr>
        <w:t xml:space="preserve"> mostly </w:t>
      </w:r>
      <w:r w:rsidR="00234A40" w:rsidRPr="001055B5">
        <w:rPr>
          <w:rFonts w:ascii="Times New Roman" w:hAnsi="Times New Roman" w:cs="Times New Roman"/>
          <w:sz w:val="24"/>
          <w:szCs w:val="24"/>
        </w:rPr>
        <w:t>discussed</w:t>
      </w:r>
      <w:r w:rsidRPr="001055B5">
        <w:rPr>
          <w:rFonts w:ascii="Times New Roman" w:hAnsi="Times New Roman" w:cs="Times New Roman"/>
          <w:sz w:val="24"/>
          <w:szCs w:val="24"/>
        </w:rPr>
        <w:t xml:space="preserve"> by practitioners </w:t>
      </w:r>
      <w:r w:rsidR="00234A40" w:rsidRPr="001055B5">
        <w:rPr>
          <w:rFonts w:ascii="Times New Roman" w:hAnsi="Times New Roman" w:cs="Times New Roman"/>
          <w:sz w:val="24"/>
          <w:szCs w:val="24"/>
        </w:rPr>
        <w:t>in</w:t>
      </w:r>
      <w:r w:rsidRPr="001055B5">
        <w:rPr>
          <w:rFonts w:ascii="Times New Roman" w:hAnsi="Times New Roman" w:cs="Times New Roman"/>
          <w:sz w:val="24"/>
          <w:szCs w:val="24"/>
        </w:rPr>
        <w:t xml:space="preserve"> the studies of the discontinued insurance market</w:t>
      </w:r>
      <w:bookmarkStart w:id="5" w:name="_Ref403750311"/>
      <w:r w:rsidRPr="001055B5">
        <w:rPr>
          <w:rStyle w:val="Funotenzeichen"/>
          <w:rFonts w:ascii="Times New Roman" w:hAnsi="Times New Roman" w:cs="Times New Roman"/>
          <w:sz w:val="24"/>
          <w:szCs w:val="24"/>
        </w:rPr>
        <w:footnoteReference w:id="7"/>
      </w:r>
      <w:bookmarkEnd w:id="5"/>
      <w:r w:rsidRPr="001055B5">
        <w:rPr>
          <w:rFonts w:ascii="Times New Roman" w:hAnsi="Times New Roman" w:cs="Times New Roman"/>
          <w:sz w:val="24"/>
          <w:szCs w:val="24"/>
        </w:rPr>
        <w:t xml:space="preserve"> and some of the loss portfolio managing options.</w:t>
      </w:r>
      <w:r w:rsidRPr="001055B5">
        <w:rPr>
          <w:rStyle w:val="Funotenzeichen"/>
          <w:rFonts w:ascii="Times New Roman" w:hAnsi="Times New Roman" w:cs="Times New Roman"/>
          <w:sz w:val="24"/>
          <w:szCs w:val="24"/>
        </w:rPr>
        <w:footnoteReference w:id="8"/>
      </w:r>
      <w:r w:rsidRPr="001055B5">
        <w:rPr>
          <w:rFonts w:ascii="Times New Roman" w:hAnsi="Times New Roman" w:cs="Times New Roman"/>
          <w:sz w:val="24"/>
          <w:szCs w:val="24"/>
        </w:rPr>
        <w:t xml:space="preserve"> Additionally certain firms issue brief consultations on the possible effects of the capital requirements of Solvency II for run-off.</w:t>
      </w:r>
      <w:bookmarkStart w:id="6" w:name="_Ref404093713"/>
      <w:r w:rsidRPr="001055B5">
        <w:rPr>
          <w:rStyle w:val="Funotenzeichen"/>
          <w:rFonts w:ascii="Times New Roman" w:hAnsi="Times New Roman" w:cs="Times New Roman"/>
          <w:sz w:val="24"/>
          <w:szCs w:val="24"/>
        </w:rPr>
        <w:footnoteReference w:id="9"/>
      </w:r>
      <w:bookmarkEnd w:id="6"/>
      <w:r w:rsidRPr="001055B5">
        <w:rPr>
          <w:rFonts w:ascii="Times New Roman" w:hAnsi="Times New Roman" w:cs="Times New Roman"/>
          <w:sz w:val="24"/>
          <w:szCs w:val="24"/>
        </w:rPr>
        <w:t xml:space="preserve"> On the </w:t>
      </w:r>
      <w:r w:rsidR="005742A8" w:rsidRPr="001055B5">
        <w:rPr>
          <w:rFonts w:ascii="Times New Roman" w:hAnsi="Times New Roman" w:cs="Times New Roman"/>
          <w:sz w:val="24"/>
          <w:szCs w:val="24"/>
        </w:rPr>
        <w:t>academic</w:t>
      </w:r>
      <w:r w:rsidRPr="001055B5">
        <w:rPr>
          <w:rFonts w:ascii="Times New Roman" w:hAnsi="Times New Roman" w:cs="Times New Roman"/>
          <w:sz w:val="24"/>
          <w:szCs w:val="24"/>
        </w:rPr>
        <w:t xml:space="preserve"> level there are only a few</w:t>
      </w:r>
      <w:r w:rsidR="005742A8" w:rsidRPr="001055B5">
        <w:rPr>
          <w:rFonts w:ascii="Times New Roman" w:hAnsi="Times New Roman" w:cs="Times New Roman"/>
          <w:sz w:val="24"/>
          <w:szCs w:val="24"/>
        </w:rPr>
        <w:t xml:space="preserve"> papers </w:t>
      </w:r>
      <w:r w:rsidRPr="001055B5">
        <w:rPr>
          <w:rFonts w:ascii="Times New Roman" w:hAnsi="Times New Roman" w:cs="Times New Roman"/>
          <w:sz w:val="24"/>
          <w:szCs w:val="24"/>
        </w:rPr>
        <w:t>more or less directly address</w:t>
      </w:r>
      <w:r w:rsidR="005742A8" w:rsidRPr="001055B5">
        <w:rPr>
          <w:rFonts w:ascii="Times New Roman" w:hAnsi="Times New Roman" w:cs="Times New Roman"/>
          <w:sz w:val="24"/>
          <w:szCs w:val="24"/>
        </w:rPr>
        <w:t>ing</w:t>
      </w:r>
      <w:r w:rsidRPr="001055B5">
        <w:rPr>
          <w:rFonts w:ascii="Times New Roman" w:hAnsi="Times New Roman" w:cs="Times New Roman"/>
          <w:sz w:val="24"/>
          <w:szCs w:val="24"/>
        </w:rPr>
        <w:t xml:space="preserve"> the topic. For example, a couple of articles analyse various exit mechanisms in the run-off market</w:t>
      </w:r>
      <w:r w:rsidRPr="001055B5">
        <w:rPr>
          <w:rStyle w:val="Funotenzeichen"/>
          <w:rFonts w:ascii="Times New Roman" w:hAnsi="Times New Roman" w:cs="Times New Roman"/>
          <w:sz w:val="24"/>
          <w:szCs w:val="24"/>
        </w:rPr>
        <w:footnoteReference w:id="10"/>
      </w:r>
      <w:r w:rsidRPr="001055B5">
        <w:rPr>
          <w:rFonts w:ascii="Times New Roman" w:hAnsi="Times New Roman" w:cs="Times New Roman"/>
          <w:sz w:val="24"/>
          <w:szCs w:val="24"/>
        </w:rPr>
        <w:t xml:space="preserve"> while more recent ones concentrate on the issues pertinent to Germany</w:t>
      </w:r>
      <w:r w:rsidR="00D27006" w:rsidRPr="001055B5">
        <w:rPr>
          <w:rStyle w:val="Funotenzeichen"/>
          <w:rFonts w:ascii="Times New Roman" w:hAnsi="Times New Roman" w:cs="Times New Roman"/>
          <w:sz w:val="24"/>
          <w:szCs w:val="24"/>
        </w:rPr>
        <w:footnoteReference w:id="11"/>
      </w:r>
      <w:r w:rsidRPr="001055B5">
        <w:rPr>
          <w:rFonts w:ascii="Times New Roman" w:hAnsi="Times New Roman" w:cs="Times New Roman"/>
          <w:sz w:val="24"/>
          <w:szCs w:val="24"/>
        </w:rPr>
        <w:t xml:space="preserve"> or German-speaking countries</w:t>
      </w:r>
      <w:r w:rsidR="00002819">
        <w:rPr>
          <w:rFonts w:ascii="Times New Roman" w:hAnsi="Times New Roman" w:cs="Times New Roman"/>
          <w:sz w:val="24"/>
          <w:szCs w:val="24"/>
        </w:rPr>
        <w:t xml:space="preserve"> in general</w:t>
      </w:r>
      <w:r w:rsidRPr="001055B5">
        <w:rPr>
          <w:rFonts w:ascii="Times New Roman" w:hAnsi="Times New Roman" w:cs="Times New Roman"/>
          <w:sz w:val="24"/>
          <w:szCs w:val="24"/>
        </w:rPr>
        <w:t>.</w:t>
      </w:r>
      <w:bookmarkStart w:id="7" w:name="_Ref404000920"/>
      <w:r w:rsidR="00D27006" w:rsidRPr="001055B5">
        <w:rPr>
          <w:rStyle w:val="Funotenzeichen"/>
          <w:rFonts w:ascii="Times New Roman" w:hAnsi="Times New Roman" w:cs="Times New Roman"/>
          <w:sz w:val="24"/>
          <w:szCs w:val="24"/>
        </w:rPr>
        <w:footnoteReference w:id="12"/>
      </w:r>
      <w:bookmarkEnd w:id="7"/>
      <w:r w:rsidR="00D27006">
        <w:rPr>
          <w:rFonts w:ascii="Times New Roman" w:hAnsi="Times New Roman" w:cs="Times New Roman"/>
          <w:sz w:val="24"/>
          <w:szCs w:val="24"/>
        </w:rPr>
        <w:t xml:space="preserve"> </w:t>
      </w:r>
      <w:r w:rsidRPr="001055B5">
        <w:rPr>
          <w:rFonts w:ascii="Times New Roman" w:hAnsi="Times New Roman" w:cs="Times New Roman"/>
          <w:sz w:val="24"/>
          <w:szCs w:val="24"/>
        </w:rPr>
        <w:t xml:space="preserve">There are also studies </w:t>
      </w:r>
      <w:r w:rsidR="00EA77FC" w:rsidRPr="001055B5">
        <w:rPr>
          <w:rFonts w:ascii="Times New Roman" w:hAnsi="Times New Roman" w:cs="Times New Roman"/>
          <w:sz w:val="24"/>
          <w:szCs w:val="24"/>
        </w:rPr>
        <w:t>investigating</w:t>
      </w:r>
      <w:r w:rsidRPr="001055B5">
        <w:rPr>
          <w:rFonts w:ascii="Times New Roman" w:hAnsi="Times New Roman" w:cs="Times New Roman"/>
          <w:sz w:val="24"/>
          <w:szCs w:val="24"/>
        </w:rPr>
        <w:t xml:space="preserve"> particular tools for managing loss portfolios, which </w:t>
      </w:r>
      <w:r w:rsidR="00370B05">
        <w:rPr>
          <w:rFonts w:ascii="Times New Roman" w:hAnsi="Times New Roman" w:cs="Times New Roman"/>
          <w:sz w:val="24"/>
          <w:szCs w:val="24"/>
        </w:rPr>
        <w:t xml:space="preserve">however </w:t>
      </w:r>
      <w:r w:rsidRPr="001055B5">
        <w:rPr>
          <w:rFonts w:ascii="Times New Roman" w:hAnsi="Times New Roman" w:cs="Times New Roman"/>
          <w:sz w:val="24"/>
          <w:szCs w:val="24"/>
        </w:rPr>
        <w:t xml:space="preserve">do not discuss the issue of run-off </w:t>
      </w:r>
      <w:r w:rsidR="001E5923">
        <w:rPr>
          <w:rFonts w:ascii="Times New Roman" w:hAnsi="Times New Roman" w:cs="Times New Roman"/>
          <w:sz w:val="24"/>
          <w:szCs w:val="24"/>
        </w:rPr>
        <w:t xml:space="preserve">itself </w:t>
      </w:r>
      <w:r w:rsidRPr="001055B5">
        <w:rPr>
          <w:rFonts w:ascii="Times New Roman" w:hAnsi="Times New Roman" w:cs="Times New Roman"/>
          <w:sz w:val="24"/>
          <w:szCs w:val="24"/>
        </w:rPr>
        <w:t>in detail.</w:t>
      </w:r>
      <w:r w:rsidRPr="001055B5">
        <w:rPr>
          <w:rStyle w:val="Funotenzeichen"/>
          <w:rFonts w:ascii="Times New Roman" w:hAnsi="Times New Roman" w:cs="Times New Roman"/>
          <w:sz w:val="24"/>
          <w:szCs w:val="24"/>
        </w:rPr>
        <w:footnoteReference w:id="13"/>
      </w:r>
      <w:r w:rsidR="00E625FC" w:rsidRPr="001055B5">
        <w:rPr>
          <w:rFonts w:ascii="Times New Roman" w:hAnsi="Times New Roman" w:cs="Times New Roman"/>
          <w:sz w:val="24"/>
          <w:szCs w:val="24"/>
        </w:rPr>
        <w:t xml:space="preserve"> </w:t>
      </w:r>
      <w:r w:rsidR="00F0030D" w:rsidRPr="001055B5">
        <w:rPr>
          <w:rFonts w:ascii="Times New Roman" w:hAnsi="Times New Roman" w:cs="Times New Roman"/>
          <w:sz w:val="24"/>
          <w:szCs w:val="24"/>
        </w:rPr>
        <w:t>E</w:t>
      </w:r>
      <w:r w:rsidR="00E625FC" w:rsidRPr="001055B5">
        <w:rPr>
          <w:rFonts w:ascii="Times New Roman" w:hAnsi="Times New Roman" w:cs="Times New Roman"/>
          <w:sz w:val="24"/>
          <w:szCs w:val="24"/>
        </w:rPr>
        <w:t xml:space="preserve">ven though some of the </w:t>
      </w:r>
      <w:r w:rsidR="00A918EE" w:rsidRPr="001055B5">
        <w:rPr>
          <w:rFonts w:ascii="Times New Roman" w:hAnsi="Times New Roman" w:cs="Times New Roman"/>
          <w:sz w:val="24"/>
          <w:szCs w:val="24"/>
        </w:rPr>
        <w:t xml:space="preserve">mentioned </w:t>
      </w:r>
      <w:r w:rsidR="00E625FC" w:rsidRPr="001055B5">
        <w:rPr>
          <w:rFonts w:ascii="Times New Roman" w:hAnsi="Times New Roman" w:cs="Times New Roman"/>
          <w:sz w:val="24"/>
          <w:szCs w:val="24"/>
        </w:rPr>
        <w:t xml:space="preserve">works </w:t>
      </w:r>
      <w:r w:rsidR="007E65BC" w:rsidRPr="001055B5">
        <w:rPr>
          <w:rFonts w:ascii="Times New Roman" w:hAnsi="Times New Roman" w:cs="Times New Roman"/>
          <w:sz w:val="24"/>
          <w:szCs w:val="24"/>
        </w:rPr>
        <w:t>talk about</w:t>
      </w:r>
      <w:r w:rsidR="00E625FC" w:rsidRPr="001055B5">
        <w:rPr>
          <w:rFonts w:ascii="Times New Roman" w:hAnsi="Times New Roman" w:cs="Times New Roman"/>
          <w:sz w:val="24"/>
          <w:szCs w:val="24"/>
        </w:rPr>
        <w:t xml:space="preserve"> the impact of Solvency II on discontinued business, the</w:t>
      </w:r>
      <w:r w:rsidR="007E65BC" w:rsidRPr="001055B5">
        <w:rPr>
          <w:rFonts w:ascii="Times New Roman" w:hAnsi="Times New Roman" w:cs="Times New Roman"/>
          <w:sz w:val="24"/>
          <w:szCs w:val="24"/>
        </w:rPr>
        <w:t>ir discussion</w:t>
      </w:r>
      <w:r w:rsidR="00E625FC" w:rsidRPr="001055B5">
        <w:rPr>
          <w:rFonts w:ascii="Times New Roman" w:hAnsi="Times New Roman" w:cs="Times New Roman"/>
          <w:sz w:val="24"/>
          <w:szCs w:val="24"/>
        </w:rPr>
        <w:t xml:space="preserve"> </w:t>
      </w:r>
      <w:r w:rsidR="007E65BC" w:rsidRPr="001055B5">
        <w:rPr>
          <w:rFonts w:ascii="Times New Roman" w:hAnsi="Times New Roman" w:cs="Times New Roman"/>
          <w:sz w:val="24"/>
          <w:szCs w:val="24"/>
        </w:rPr>
        <w:t>does not reach beyond</w:t>
      </w:r>
      <w:r w:rsidR="00E625FC" w:rsidRPr="001055B5">
        <w:rPr>
          <w:rFonts w:ascii="Times New Roman" w:hAnsi="Times New Roman" w:cs="Times New Roman"/>
          <w:sz w:val="24"/>
          <w:szCs w:val="24"/>
        </w:rPr>
        <w:t xml:space="preserve"> the</w:t>
      </w:r>
      <w:r w:rsidR="008109E1">
        <w:rPr>
          <w:rFonts w:ascii="Times New Roman" w:hAnsi="Times New Roman" w:cs="Times New Roman"/>
          <w:sz w:val="24"/>
          <w:szCs w:val="24"/>
        </w:rPr>
        <w:t xml:space="preserve"> analysis of </w:t>
      </w:r>
      <w:r w:rsidR="00E625FC" w:rsidRPr="001055B5">
        <w:rPr>
          <w:rFonts w:ascii="Times New Roman" w:hAnsi="Times New Roman" w:cs="Times New Roman"/>
          <w:sz w:val="24"/>
          <w:szCs w:val="24"/>
        </w:rPr>
        <w:t xml:space="preserve">impact of capital requirements. </w:t>
      </w:r>
    </w:p>
    <w:p w:rsidR="00811C28" w:rsidRPr="001055B5" w:rsidRDefault="00F900CE" w:rsidP="005B1DA4">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Thus t</w:t>
      </w:r>
      <w:r w:rsidR="00811C28" w:rsidRPr="001055B5">
        <w:rPr>
          <w:rFonts w:ascii="Times New Roman" w:hAnsi="Times New Roman" w:cs="Times New Roman"/>
          <w:sz w:val="24"/>
          <w:szCs w:val="24"/>
        </w:rPr>
        <w:t xml:space="preserve">here is a clear need for more research of the issue. Understanding the impact of Solvency II on run-off will </w:t>
      </w:r>
      <w:r w:rsidR="001F0431" w:rsidRPr="001055B5">
        <w:rPr>
          <w:rFonts w:ascii="Times New Roman" w:hAnsi="Times New Roman" w:cs="Times New Roman"/>
          <w:sz w:val="24"/>
          <w:szCs w:val="24"/>
        </w:rPr>
        <w:t>bring to the spotlight</w:t>
      </w:r>
      <w:r w:rsidR="00811C28" w:rsidRPr="001055B5">
        <w:rPr>
          <w:rFonts w:ascii="Times New Roman" w:hAnsi="Times New Roman" w:cs="Times New Roman"/>
          <w:sz w:val="24"/>
          <w:szCs w:val="24"/>
        </w:rPr>
        <w:t xml:space="preserve"> the value of exit mechanisms and facilitate their choice according to each company’s situation. </w:t>
      </w:r>
      <w:r w:rsidR="00290C15" w:rsidRPr="001055B5">
        <w:rPr>
          <w:rFonts w:ascii="Times New Roman" w:hAnsi="Times New Roman" w:cs="Times New Roman"/>
          <w:sz w:val="24"/>
          <w:szCs w:val="24"/>
        </w:rPr>
        <w:t xml:space="preserve">After all, it is necessary first to understand the </w:t>
      </w:r>
      <w:r w:rsidR="00290C15" w:rsidRPr="001055B5">
        <w:rPr>
          <w:rFonts w:ascii="Times New Roman" w:hAnsi="Times New Roman" w:cs="Times New Roman"/>
          <w:sz w:val="24"/>
          <w:szCs w:val="24"/>
        </w:rPr>
        <w:lastRenderedPageBreak/>
        <w:t>issue in order to be able to provide any recommendations for solutions.</w:t>
      </w:r>
      <w:r w:rsidR="00CC04A2">
        <w:rPr>
          <w:rFonts w:ascii="Times New Roman" w:hAnsi="Times New Roman" w:cs="Times New Roman"/>
          <w:sz w:val="24"/>
          <w:szCs w:val="24"/>
        </w:rPr>
        <w:t xml:space="preserve"> T</w:t>
      </w:r>
      <w:r w:rsidR="00811C28" w:rsidRPr="001055B5">
        <w:rPr>
          <w:rFonts w:ascii="Times New Roman" w:hAnsi="Times New Roman" w:cs="Times New Roman"/>
          <w:sz w:val="24"/>
          <w:szCs w:val="24"/>
        </w:rPr>
        <w:t>he</w:t>
      </w:r>
      <w:r w:rsidR="00CC04A2">
        <w:rPr>
          <w:rFonts w:ascii="Times New Roman" w:hAnsi="Times New Roman" w:cs="Times New Roman"/>
          <w:sz w:val="24"/>
          <w:szCs w:val="24"/>
        </w:rPr>
        <w:t xml:space="preserve"> practical</w:t>
      </w:r>
      <w:r w:rsidR="00811C28" w:rsidRPr="001055B5">
        <w:rPr>
          <w:rFonts w:ascii="Times New Roman" w:hAnsi="Times New Roman" w:cs="Times New Roman"/>
          <w:sz w:val="24"/>
          <w:szCs w:val="24"/>
        </w:rPr>
        <w:t xml:space="preserve"> importance of the topic is </w:t>
      </w:r>
      <w:r w:rsidR="00CC04A2">
        <w:rPr>
          <w:rFonts w:ascii="Times New Roman" w:hAnsi="Times New Roman" w:cs="Times New Roman"/>
          <w:sz w:val="24"/>
          <w:szCs w:val="24"/>
        </w:rPr>
        <w:t xml:space="preserve">also </w:t>
      </w:r>
      <w:r w:rsidR="00811C28" w:rsidRPr="001055B5">
        <w:rPr>
          <w:rFonts w:ascii="Times New Roman" w:hAnsi="Times New Roman" w:cs="Times New Roman"/>
          <w:sz w:val="24"/>
          <w:szCs w:val="24"/>
        </w:rPr>
        <w:t xml:space="preserve">illustrated by the size of the European </w:t>
      </w:r>
      <w:r w:rsidR="006D097A" w:rsidRPr="001055B5">
        <w:rPr>
          <w:rFonts w:ascii="Times New Roman" w:hAnsi="Times New Roman" w:cs="Times New Roman"/>
          <w:sz w:val="24"/>
          <w:szCs w:val="24"/>
        </w:rPr>
        <w:t xml:space="preserve">non-life </w:t>
      </w:r>
      <w:r w:rsidR="00811C28" w:rsidRPr="001055B5">
        <w:rPr>
          <w:rFonts w:ascii="Times New Roman" w:hAnsi="Times New Roman" w:cs="Times New Roman"/>
          <w:sz w:val="24"/>
          <w:szCs w:val="24"/>
        </w:rPr>
        <w:t xml:space="preserve">run-off market, which according to the latest survey </w:t>
      </w:r>
      <w:r w:rsidR="00272099" w:rsidRPr="001055B5">
        <w:rPr>
          <w:rFonts w:ascii="Times New Roman" w:hAnsi="Times New Roman" w:cs="Times New Roman"/>
          <w:sz w:val="24"/>
          <w:szCs w:val="24"/>
        </w:rPr>
        <w:t xml:space="preserve">is </w:t>
      </w:r>
      <w:r w:rsidR="00811C28" w:rsidRPr="001055B5">
        <w:rPr>
          <w:rFonts w:ascii="Times New Roman" w:hAnsi="Times New Roman" w:cs="Times New Roman"/>
          <w:sz w:val="24"/>
          <w:szCs w:val="24"/>
        </w:rPr>
        <w:t xml:space="preserve">EUR 242 billion, a EUR 7 billion increase comparing to the </w:t>
      </w:r>
      <w:r w:rsidR="004D5D8F">
        <w:rPr>
          <w:rFonts w:ascii="Times New Roman" w:hAnsi="Times New Roman" w:cs="Times New Roman"/>
          <w:sz w:val="24"/>
          <w:szCs w:val="24"/>
        </w:rPr>
        <w:t>previous</w:t>
      </w:r>
      <w:r w:rsidR="00811C28" w:rsidRPr="001055B5">
        <w:rPr>
          <w:rFonts w:ascii="Times New Roman" w:hAnsi="Times New Roman" w:cs="Times New Roman"/>
          <w:sz w:val="24"/>
          <w:szCs w:val="24"/>
        </w:rPr>
        <w:t xml:space="preserve"> year.</w:t>
      </w:r>
      <w:bookmarkStart w:id="8" w:name="_Ref404088590"/>
      <w:r w:rsidR="00811C28" w:rsidRPr="001055B5">
        <w:rPr>
          <w:rStyle w:val="Funotenzeichen"/>
          <w:rFonts w:ascii="Times New Roman" w:hAnsi="Times New Roman" w:cs="Times New Roman"/>
          <w:sz w:val="24"/>
          <w:szCs w:val="24"/>
        </w:rPr>
        <w:footnoteReference w:id="14"/>
      </w:r>
      <w:bookmarkEnd w:id="8"/>
      <w:r w:rsidR="00811C28" w:rsidRPr="001055B5">
        <w:rPr>
          <w:rFonts w:ascii="Times New Roman" w:hAnsi="Times New Roman" w:cs="Times New Roman"/>
          <w:sz w:val="24"/>
          <w:szCs w:val="24"/>
        </w:rPr>
        <w:t xml:space="preserve"> Considering that </w:t>
      </w:r>
      <w:r w:rsidR="00DC0F30" w:rsidRPr="001055B5">
        <w:rPr>
          <w:rFonts w:ascii="Times New Roman" w:hAnsi="Times New Roman" w:cs="Times New Roman"/>
          <w:sz w:val="24"/>
          <w:szCs w:val="24"/>
        </w:rPr>
        <w:t xml:space="preserve">the </w:t>
      </w:r>
      <w:r w:rsidR="00811C28" w:rsidRPr="001055B5">
        <w:rPr>
          <w:rFonts w:ascii="Times New Roman" w:hAnsi="Times New Roman" w:cs="Times New Roman"/>
          <w:sz w:val="24"/>
          <w:szCs w:val="24"/>
        </w:rPr>
        <w:t>European insurance industry is the largest in the world</w:t>
      </w:r>
      <w:r w:rsidR="00811C28" w:rsidRPr="001055B5">
        <w:rPr>
          <w:rStyle w:val="Funotenzeichen"/>
          <w:rFonts w:ascii="Times New Roman" w:hAnsi="Times New Roman" w:cs="Times New Roman"/>
          <w:sz w:val="24"/>
          <w:szCs w:val="24"/>
        </w:rPr>
        <w:footnoteReference w:id="15"/>
      </w:r>
      <w:r w:rsidR="00811C28" w:rsidRPr="001055B5">
        <w:rPr>
          <w:rFonts w:ascii="Times New Roman" w:hAnsi="Times New Roman" w:cs="Times New Roman"/>
          <w:sz w:val="24"/>
          <w:szCs w:val="24"/>
        </w:rPr>
        <w:t xml:space="preserve"> the impact of the upcoming legislation </w:t>
      </w:r>
      <w:r w:rsidR="00E6062F">
        <w:rPr>
          <w:rFonts w:ascii="Times New Roman" w:hAnsi="Times New Roman" w:cs="Times New Roman"/>
          <w:sz w:val="24"/>
          <w:szCs w:val="24"/>
        </w:rPr>
        <w:t>deserves a closer attention</w:t>
      </w:r>
      <w:r w:rsidR="00811C28" w:rsidRPr="001055B5">
        <w:rPr>
          <w:rFonts w:ascii="Times New Roman" w:hAnsi="Times New Roman" w:cs="Times New Roman"/>
          <w:sz w:val="24"/>
          <w:szCs w:val="24"/>
        </w:rPr>
        <w:t xml:space="preserve">. </w:t>
      </w:r>
    </w:p>
    <w:p w:rsidR="00811C28" w:rsidRPr="001055B5" w:rsidRDefault="00800C38" w:rsidP="005B1DA4">
      <w:pPr>
        <w:spacing w:after="0" w:line="360" w:lineRule="auto"/>
        <w:ind w:firstLine="567"/>
        <w:jc w:val="both"/>
        <w:rPr>
          <w:rFonts w:ascii="Times New Roman" w:hAnsi="Times New Roman" w:cs="Times New Roman"/>
          <w:sz w:val="24"/>
          <w:szCs w:val="24"/>
        </w:rPr>
      </w:pPr>
      <w:r w:rsidRPr="001055B5">
        <w:rPr>
          <w:rFonts w:ascii="Times New Roman" w:hAnsi="Times New Roman" w:cs="Times New Roman"/>
          <w:sz w:val="24"/>
          <w:szCs w:val="24"/>
        </w:rPr>
        <w:t>T</w:t>
      </w:r>
      <w:r w:rsidR="00811C28" w:rsidRPr="001055B5">
        <w:rPr>
          <w:rFonts w:ascii="Times New Roman" w:hAnsi="Times New Roman" w:cs="Times New Roman"/>
          <w:sz w:val="24"/>
          <w:szCs w:val="24"/>
        </w:rPr>
        <w:t xml:space="preserve">his paper uses the analysis of the upcoming rules and existing literature, combined with the experience of practitioners (reflected in reports and surveys </w:t>
      </w:r>
      <w:r w:rsidR="00A4224E" w:rsidRPr="001055B5">
        <w:rPr>
          <w:rFonts w:ascii="Times New Roman" w:hAnsi="Times New Roman" w:cs="Times New Roman"/>
          <w:sz w:val="24"/>
          <w:szCs w:val="24"/>
        </w:rPr>
        <w:t>analysing</w:t>
      </w:r>
      <w:r w:rsidR="00811C28" w:rsidRPr="001055B5">
        <w:rPr>
          <w:rFonts w:ascii="Times New Roman" w:hAnsi="Times New Roman" w:cs="Times New Roman"/>
          <w:sz w:val="24"/>
          <w:szCs w:val="24"/>
        </w:rPr>
        <w:t xml:space="preserve"> the market) in order to outline the impact of Solvency II on discontinued business</w:t>
      </w:r>
      <w:r w:rsidR="00043446" w:rsidRPr="001055B5">
        <w:rPr>
          <w:rFonts w:ascii="Times New Roman" w:hAnsi="Times New Roman" w:cs="Times New Roman"/>
          <w:sz w:val="24"/>
          <w:szCs w:val="24"/>
        </w:rPr>
        <w:t xml:space="preserve"> in non-life insurance</w:t>
      </w:r>
      <w:r w:rsidR="00811C28" w:rsidRPr="001055B5">
        <w:rPr>
          <w:rFonts w:ascii="Times New Roman" w:hAnsi="Times New Roman" w:cs="Times New Roman"/>
          <w:sz w:val="24"/>
          <w:szCs w:val="24"/>
        </w:rPr>
        <w:t>.</w:t>
      </w:r>
      <w:r w:rsidR="00043446" w:rsidRPr="001055B5">
        <w:rPr>
          <w:rFonts w:ascii="Times New Roman" w:hAnsi="Times New Roman" w:cs="Times New Roman"/>
          <w:sz w:val="24"/>
          <w:szCs w:val="24"/>
        </w:rPr>
        <w:t xml:space="preserve"> </w:t>
      </w:r>
      <w:r w:rsidR="00811C28" w:rsidRPr="001055B5">
        <w:rPr>
          <w:rFonts w:ascii="Times New Roman" w:hAnsi="Times New Roman" w:cs="Times New Roman"/>
          <w:sz w:val="24"/>
          <w:szCs w:val="24"/>
        </w:rPr>
        <w:t>It</w:t>
      </w:r>
      <w:r w:rsidR="00043446" w:rsidRPr="001055B5">
        <w:rPr>
          <w:rFonts w:ascii="Times New Roman" w:hAnsi="Times New Roman" w:cs="Times New Roman"/>
          <w:sz w:val="24"/>
          <w:szCs w:val="24"/>
        </w:rPr>
        <w:t xml:space="preserve"> </w:t>
      </w:r>
      <w:r w:rsidR="005056E5" w:rsidRPr="001055B5">
        <w:rPr>
          <w:rFonts w:ascii="Times New Roman" w:hAnsi="Times New Roman" w:cs="Times New Roman"/>
          <w:sz w:val="24"/>
          <w:szCs w:val="24"/>
        </w:rPr>
        <w:t>offers a hypothesis</w:t>
      </w:r>
      <w:r w:rsidR="00811C28" w:rsidRPr="001055B5">
        <w:rPr>
          <w:rFonts w:ascii="Times New Roman" w:hAnsi="Times New Roman" w:cs="Times New Roman"/>
          <w:sz w:val="24"/>
          <w:szCs w:val="24"/>
        </w:rPr>
        <w:t xml:space="preserve"> that the </w:t>
      </w:r>
      <w:r w:rsidR="00AF669D" w:rsidRPr="001055B5">
        <w:rPr>
          <w:rFonts w:ascii="Times New Roman" w:hAnsi="Times New Roman" w:cs="Times New Roman"/>
          <w:sz w:val="24"/>
          <w:szCs w:val="24"/>
        </w:rPr>
        <w:t>consequences of the new rules</w:t>
      </w:r>
      <w:r w:rsidR="00811C28" w:rsidRPr="001055B5">
        <w:rPr>
          <w:rFonts w:ascii="Times New Roman" w:hAnsi="Times New Roman" w:cs="Times New Roman"/>
          <w:sz w:val="24"/>
          <w:szCs w:val="24"/>
        </w:rPr>
        <w:t xml:space="preserve"> will </w:t>
      </w:r>
      <w:r w:rsidR="002C17DB" w:rsidRPr="001055B5">
        <w:rPr>
          <w:rFonts w:ascii="Times New Roman" w:hAnsi="Times New Roman" w:cs="Times New Roman"/>
          <w:sz w:val="24"/>
          <w:szCs w:val="24"/>
        </w:rPr>
        <w:t>reach</w:t>
      </w:r>
      <w:r w:rsidR="00811C28" w:rsidRPr="001055B5">
        <w:rPr>
          <w:rFonts w:ascii="Times New Roman" w:hAnsi="Times New Roman" w:cs="Times New Roman"/>
          <w:sz w:val="24"/>
          <w:szCs w:val="24"/>
        </w:rPr>
        <w:t xml:space="preserve"> </w:t>
      </w:r>
      <w:r w:rsidR="000C132D">
        <w:rPr>
          <w:rFonts w:ascii="Times New Roman" w:hAnsi="Times New Roman" w:cs="Times New Roman"/>
          <w:sz w:val="24"/>
          <w:szCs w:val="24"/>
        </w:rPr>
        <w:t>well</w:t>
      </w:r>
      <w:r w:rsidR="00811C28" w:rsidRPr="001055B5">
        <w:rPr>
          <w:rFonts w:ascii="Times New Roman" w:hAnsi="Times New Roman" w:cs="Times New Roman"/>
          <w:sz w:val="24"/>
          <w:szCs w:val="24"/>
        </w:rPr>
        <w:t xml:space="preserve"> beyond the </w:t>
      </w:r>
      <w:r w:rsidR="000C132D">
        <w:rPr>
          <w:rFonts w:ascii="Times New Roman" w:hAnsi="Times New Roman" w:cs="Times New Roman"/>
          <w:sz w:val="24"/>
          <w:szCs w:val="24"/>
        </w:rPr>
        <w:t>increase in</w:t>
      </w:r>
      <w:r w:rsidR="002C17DB" w:rsidRPr="001055B5">
        <w:rPr>
          <w:rFonts w:ascii="Times New Roman" w:hAnsi="Times New Roman" w:cs="Times New Roman"/>
          <w:sz w:val="24"/>
          <w:szCs w:val="24"/>
        </w:rPr>
        <w:t xml:space="preserve"> cost of capital</w:t>
      </w:r>
      <w:r w:rsidR="00811C28" w:rsidRPr="001055B5">
        <w:rPr>
          <w:rFonts w:ascii="Times New Roman" w:hAnsi="Times New Roman" w:cs="Times New Roman"/>
          <w:sz w:val="24"/>
          <w:szCs w:val="24"/>
        </w:rPr>
        <w:t xml:space="preserve">. </w:t>
      </w:r>
      <w:r w:rsidR="002C0B7A" w:rsidRPr="001055B5">
        <w:rPr>
          <w:rFonts w:ascii="Times New Roman" w:hAnsi="Times New Roman" w:cs="Times New Roman"/>
          <w:sz w:val="24"/>
          <w:szCs w:val="24"/>
        </w:rPr>
        <w:t>Furthermore</w:t>
      </w:r>
      <w:r w:rsidR="00811C28" w:rsidRPr="001055B5">
        <w:rPr>
          <w:rFonts w:ascii="Times New Roman" w:hAnsi="Times New Roman" w:cs="Times New Roman"/>
          <w:sz w:val="24"/>
          <w:szCs w:val="24"/>
        </w:rPr>
        <w:t xml:space="preserve">, the goal of this article is to stimulate further academic discussion about run-off business and provide possible directions for future research. </w:t>
      </w:r>
      <w:r w:rsidR="003C7AEE">
        <w:rPr>
          <w:rFonts w:ascii="Times New Roman" w:hAnsi="Times New Roman" w:cs="Times New Roman"/>
          <w:sz w:val="24"/>
          <w:szCs w:val="24"/>
        </w:rPr>
        <w:t>Additionally the discussion presented in this paper is likely to be useful for insurance practitioners willing to better understand the impact of Solvency II on their insurance business.</w:t>
      </w:r>
    </w:p>
    <w:p w:rsidR="00811C28" w:rsidRPr="001055B5" w:rsidRDefault="00811C28" w:rsidP="005B1DA4">
      <w:pPr>
        <w:pStyle w:val="Textkrper-Zeileneinzug"/>
        <w:spacing w:line="360" w:lineRule="auto"/>
        <w:ind w:firstLine="709"/>
        <w:jc w:val="both"/>
        <w:rPr>
          <w:rFonts w:ascii="Times New Roman" w:hAnsi="Times New Roman"/>
          <w:sz w:val="24"/>
          <w:lang w:val="en-GB"/>
        </w:rPr>
      </w:pPr>
      <w:r w:rsidRPr="001055B5">
        <w:rPr>
          <w:rFonts w:ascii="Times New Roman" w:hAnsi="Times New Roman"/>
          <w:sz w:val="24"/>
          <w:lang w:val="en-GB"/>
        </w:rPr>
        <w:t xml:space="preserve">The remainder of the </w:t>
      </w:r>
      <w:r w:rsidR="008B338C">
        <w:rPr>
          <w:rFonts w:ascii="Times New Roman" w:hAnsi="Times New Roman"/>
          <w:sz w:val="24"/>
          <w:lang w:val="en-GB"/>
        </w:rPr>
        <w:t>paper</w:t>
      </w:r>
      <w:r w:rsidRPr="001055B5">
        <w:rPr>
          <w:rFonts w:ascii="Times New Roman" w:hAnsi="Times New Roman"/>
          <w:sz w:val="24"/>
          <w:lang w:val="en-GB"/>
        </w:rPr>
        <w:t xml:space="preserve"> is organised as follows. </w:t>
      </w:r>
      <w:r w:rsidR="00DC0F30" w:rsidRPr="001055B5">
        <w:rPr>
          <w:rFonts w:ascii="Times New Roman" w:hAnsi="Times New Roman"/>
          <w:sz w:val="24"/>
          <w:lang w:val="en-GB"/>
        </w:rPr>
        <w:t>I</w:t>
      </w:r>
      <w:r w:rsidRPr="001055B5">
        <w:rPr>
          <w:rFonts w:ascii="Times New Roman" w:hAnsi="Times New Roman"/>
          <w:sz w:val="24"/>
          <w:lang w:val="en-GB"/>
        </w:rPr>
        <w:t xml:space="preserve">n order to facilitate the understanding of the new rules, </w:t>
      </w:r>
      <w:r w:rsidR="00DC0F30" w:rsidRPr="001055B5">
        <w:rPr>
          <w:rFonts w:ascii="Times New Roman" w:hAnsi="Times New Roman"/>
          <w:sz w:val="24"/>
          <w:lang w:val="en-GB"/>
        </w:rPr>
        <w:t xml:space="preserve">Section 2 </w:t>
      </w:r>
      <w:r w:rsidR="00BA5804" w:rsidRPr="001055B5">
        <w:rPr>
          <w:rFonts w:ascii="Times New Roman" w:hAnsi="Times New Roman"/>
          <w:sz w:val="24"/>
          <w:lang w:val="en-GB"/>
        </w:rPr>
        <w:t>presents a brief introduction of Solvency II regime</w:t>
      </w:r>
      <w:r w:rsidRPr="001055B5">
        <w:rPr>
          <w:rFonts w:ascii="Times New Roman" w:hAnsi="Times New Roman"/>
          <w:sz w:val="24"/>
          <w:lang w:val="en-GB"/>
        </w:rPr>
        <w:t xml:space="preserve">. Section 3 provides the discussion of the impact of Solvency II on discontinued business. Section 4 summarises the discussion and outlines possible directions for </w:t>
      </w:r>
      <w:r w:rsidR="005037A2">
        <w:rPr>
          <w:rFonts w:ascii="Times New Roman" w:hAnsi="Times New Roman"/>
          <w:sz w:val="24"/>
          <w:lang w:val="en-GB"/>
        </w:rPr>
        <w:t>further</w:t>
      </w:r>
      <w:r w:rsidRPr="001055B5">
        <w:rPr>
          <w:rFonts w:ascii="Times New Roman" w:hAnsi="Times New Roman"/>
          <w:sz w:val="24"/>
          <w:lang w:val="en-GB"/>
        </w:rPr>
        <w:t xml:space="preserve"> research. </w:t>
      </w:r>
    </w:p>
    <w:p w:rsidR="00031BEF" w:rsidRPr="001055B5" w:rsidRDefault="00031BEF" w:rsidP="005B1DA4">
      <w:pPr>
        <w:pStyle w:val="Textkrper-Zeileneinzug"/>
        <w:spacing w:line="360" w:lineRule="auto"/>
        <w:ind w:firstLine="709"/>
        <w:jc w:val="both"/>
        <w:rPr>
          <w:rFonts w:ascii="Times New Roman" w:hAnsi="Times New Roman"/>
          <w:sz w:val="24"/>
          <w:lang w:val="en-GB"/>
        </w:rPr>
      </w:pPr>
    </w:p>
    <w:p w:rsidR="008E43B4" w:rsidRPr="001055B5" w:rsidRDefault="005A7832" w:rsidP="004906E4">
      <w:pPr>
        <w:pStyle w:val="Listenabsatz"/>
        <w:numPr>
          <w:ilvl w:val="0"/>
          <w:numId w:val="9"/>
        </w:numPr>
        <w:spacing w:after="120" w:line="360" w:lineRule="auto"/>
        <w:ind w:left="1077" w:hanging="357"/>
        <w:jc w:val="both"/>
        <w:rPr>
          <w:rFonts w:ascii="Times New Roman" w:hAnsi="Times New Roman" w:cs="Times New Roman"/>
          <w:b/>
          <w:sz w:val="24"/>
          <w:szCs w:val="24"/>
        </w:rPr>
      </w:pPr>
      <w:r w:rsidRPr="001055B5">
        <w:rPr>
          <w:rFonts w:ascii="Times New Roman" w:hAnsi="Times New Roman" w:cs="Times New Roman"/>
          <w:b/>
          <w:sz w:val="24"/>
          <w:szCs w:val="24"/>
        </w:rPr>
        <w:t>Solvency II: new rules for the insurance business</w:t>
      </w:r>
    </w:p>
    <w:p w:rsidR="00EC5338" w:rsidRDefault="00405E37" w:rsidP="00873D1D">
      <w:pPr>
        <w:spacing w:after="0" w:line="360" w:lineRule="auto"/>
        <w:jc w:val="both"/>
        <w:rPr>
          <w:rFonts w:ascii="Times New Roman" w:hAnsi="Times New Roman" w:cs="Times New Roman"/>
          <w:sz w:val="24"/>
          <w:szCs w:val="24"/>
        </w:rPr>
      </w:pPr>
      <w:r w:rsidRPr="001055B5">
        <w:rPr>
          <w:rFonts w:ascii="Times New Roman" w:hAnsi="Times New Roman" w:cs="Times New Roman"/>
          <w:sz w:val="24"/>
          <w:szCs w:val="24"/>
        </w:rPr>
        <w:t xml:space="preserve">The new full-scale solvency reform introduces a </w:t>
      </w:r>
      <w:r w:rsidR="00447969">
        <w:rPr>
          <w:rFonts w:ascii="Times New Roman" w:hAnsi="Times New Roman" w:cs="Times New Roman"/>
          <w:sz w:val="24"/>
          <w:szCs w:val="24"/>
        </w:rPr>
        <w:t>large number</w:t>
      </w:r>
      <w:r w:rsidRPr="001055B5">
        <w:rPr>
          <w:rFonts w:ascii="Times New Roman" w:hAnsi="Times New Roman" w:cs="Times New Roman"/>
          <w:sz w:val="24"/>
          <w:szCs w:val="24"/>
        </w:rPr>
        <w:t xml:space="preserve"> of changes to the insurance regulation and has a wide impact not only on the business inside EU but also worldwide.</w:t>
      </w:r>
      <w:r w:rsidR="0063671C" w:rsidRPr="001055B5">
        <w:rPr>
          <w:rStyle w:val="Funotenzeichen"/>
          <w:rFonts w:ascii="Times New Roman" w:hAnsi="Times New Roman" w:cs="Times New Roman"/>
          <w:sz w:val="24"/>
          <w:szCs w:val="24"/>
        </w:rPr>
        <w:footnoteReference w:id="16"/>
      </w:r>
      <w:r w:rsidRPr="001055B5">
        <w:rPr>
          <w:rFonts w:ascii="Times New Roman" w:hAnsi="Times New Roman" w:cs="Times New Roman"/>
          <w:sz w:val="24"/>
          <w:szCs w:val="24"/>
        </w:rPr>
        <w:t xml:space="preserve"> </w:t>
      </w:r>
      <w:r w:rsidR="000B254B" w:rsidRPr="001055B5">
        <w:rPr>
          <w:rFonts w:ascii="Times New Roman" w:hAnsi="Times New Roman" w:cs="Times New Roman"/>
          <w:sz w:val="24"/>
          <w:szCs w:val="24"/>
        </w:rPr>
        <w:t xml:space="preserve">While it is not devoid of certain shortcomings, its introduction </w:t>
      </w:r>
      <w:r w:rsidR="003A2D72">
        <w:rPr>
          <w:rFonts w:ascii="Times New Roman" w:hAnsi="Times New Roman" w:cs="Times New Roman"/>
          <w:sz w:val="24"/>
          <w:szCs w:val="24"/>
        </w:rPr>
        <w:t>has received a general support</w:t>
      </w:r>
      <w:r w:rsidR="000B254B" w:rsidRPr="001055B5">
        <w:rPr>
          <w:rFonts w:ascii="Times New Roman" w:hAnsi="Times New Roman" w:cs="Times New Roman"/>
          <w:sz w:val="24"/>
          <w:szCs w:val="24"/>
        </w:rPr>
        <w:t xml:space="preserve"> </w:t>
      </w:r>
      <w:r w:rsidR="003A2D72">
        <w:rPr>
          <w:rFonts w:ascii="Times New Roman" w:hAnsi="Times New Roman" w:cs="Times New Roman"/>
          <w:sz w:val="24"/>
          <w:szCs w:val="24"/>
        </w:rPr>
        <w:t>from</w:t>
      </w:r>
      <w:r w:rsidR="000B254B" w:rsidRPr="001055B5">
        <w:rPr>
          <w:rFonts w:ascii="Times New Roman" w:hAnsi="Times New Roman" w:cs="Times New Roman"/>
          <w:sz w:val="24"/>
          <w:szCs w:val="24"/>
        </w:rPr>
        <w:t xml:space="preserve"> the industry</w:t>
      </w:r>
      <w:r w:rsidR="008E044E" w:rsidRPr="001055B5">
        <w:rPr>
          <w:rFonts w:ascii="Times New Roman" w:hAnsi="Times New Roman" w:cs="Times New Roman"/>
          <w:sz w:val="24"/>
          <w:szCs w:val="24"/>
        </w:rPr>
        <w:t>.</w:t>
      </w:r>
      <w:r w:rsidR="003649FB">
        <w:rPr>
          <w:rStyle w:val="Funotenzeichen"/>
          <w:rFonts w:ascii="Times New Roman" w:hAnsi="Times New Roman" w:cs="Times New Roman"/>
          <w:sz w:val="24"/>
          <w:szCs w:val="24"/>
        </w:rPr>
        <w:footnoteReference w:id="17"/>
      </w:r>
      <w:r w:rsidR="000B254B" w:rsidRPr="001055B5">
        <w:rPr>
          <w:rFonts w:ascii="Times New Roman" w:hAnsi="Times New Roman" w:cs="Times New Roman"/>
          <w:sz w:val="24"/>
          <w:szCs w:val="24"/>
        </w:rPr>
        <w:t xml:space="preserve"> </w:t>
      </w:r>
      <w:r w:rsidR="007A2FB7">
        <w:rPr>
          <w:rFonts w:ascii="Times New Roman" w:hAnsi="Times New Roman" w:cs="Times New Roman"/>
          <w:sz w:val="24"/>
          <w:szCs w:val="24"/>
        </w:rPr>
        <w:t>The</w:t>
      </w:r>
      <w:r w:rsidR="00EC5338">
        <w:rPr>
          <w:rFonts w:ascii="Times New Roman" w:hAnsi="Times New Roman" w:cs="Times New Roman"/>
          <w:sz w:val="24"/>
          <w:szCs w:val="24"/>
        </w:rPr>
        <w:t xml:space="preserve"> main drivers </w:t>
      </w:r>
      <w:r w:rsidR="007A2FB7">
        <w:rPr>
          <w:rFonts w:ascii="Times New Roman" w:hAnsi="Times New Roman" w:cs="Times New Roman"/>
          <w:sz w:val="24"/>
          <w:szCs w:val="24"/>
        </w:rPr>
        <w:t xml:space="preserve">for </w:t>
      </w:r>
      <w:r w:rsidR="00B645F8" w:rsidRPr="00B645F8">
        <w:rPr>
          <w:rFonts w:ascii="Times New Roman" w:hAnsi="Times New Roman" w:cs="Times New Roman"/>
          <w:sz w:val="24"/>
          <w:szCs w:val="24"/>
        </w:rPr>
        <w:t>adoption of Solvency II</w:t>
      </w:r>
      <w:r w:rsidR="007A2FB7">
        <w:rPr>
          <w:rFonts w:ascii="Times New Roman" w:hAnsi="Times New Roman" w:cs="Times New Roman"/>
          <w:sz w:val="24"/>
          <w:szCs w:val="24"/>
        </w:rPr>
        <w:t xml:space="preserve"> </w:t>
      </w:r>
      <w:r w:rsidR="00EC5338">
        <w:rPr>
          <w:rFonts w:ascii="Times New Roman" w:hAnsi="Times New Roman" w:cs="Times New Roman"/>
          <w:sz w:val="24"/>
          <w:szCs w:val="24"/>
        </w:rPr>
        <w:t xml:space="preserve">are the following: </w:t>
      </w:r>
    </w:p>
    <w:p w:rsidR="00EC5338" w:rsidRPr="00EC5338" w:rsidRDefault="00EC5338" w:rsidP="00EC5338">
      <w:pPr>
        <w:pStyle w:val="Listenabsatz"/>
        <w:numPr>
          <w:ilvl w:val="0"/>
          <w:numId w:val="16"/>
        </w:numPr>
        <w:spacing w:after="0" w:line="360" w:lineRule="auto"/>
        <w:ind w:left="1134"/>
        <w:jc w:val="both"/>
        <w:rPr>
          <w:rFonts w:ascii="Times New Roman" w:hAnsi="Times New Roman" w:cs="Times New Roman"/>
          <w:sz w:val="24"/>
          <w:szCs w:val="24"/>
        </w:rPr>
      </w:pPr>
      <w:r w:rsidRPr="00EC5338">
        <w:rPr>
          <w:rFonts w:ascii="Times New Roman" w:hAnsi="Times New Roman" w:cs="Times New Roman"/>
          <w:sz w:val="24"/>
          <w:szCs w:val="24"/>
        </w:rPr>
        <w:t xml:space="preserve">to improve policyholder protection; </w:t>
      </w:r>
    </w:p>
    <w:p w:rsidR="00EC5338" w:rsidRPr="00EC5338" w:rsidRDefault="00EC5338" w:rsidP="00EC5338">
      <w:pPr>
        <w:pStyle w:val="Listenabsatz"/>
        <w:numPr>
          <w:ilvl w:val="0"/>
          <w:numId w:val="16"/>
        </w:numPr>
        <w:spacing w:after="0" w:line="360" w:lineRule="auto"/>
        <w:ind w:left="1134"/>
        <w:jc w:val="both"/>
        <w:rPr>
          <w:rFonts w:ascii="Times New Roman" w:hAnsi="Times New Roman" w:cs="Times New Roman"/>
          <w:sz w:val="24"/>
          <w:szCs w:val="24"/>
        </w:rPr>
      </w:pPr>
      <w:r w:rsidRPr="00EC5338">
        <w:rPr>
          <w:rFonts w:ascii="Times New Roman" w:hAnsi="Times New Roman" w:cs="Times New Roman"/>
          <w:sz w:val="24"/>
          <w:szCs w:val="24"/>
        </w:rPr>
        <w:t xml:space="preserve">to enhance financial stability in Europe; </w:t>
      </w:r>
    </w:p>
    <w:p w:rsidR="00EC5338" w:rsidRPr="00EC5338" w:rsidRDefault="00B14028" w:rsidP="00EC5338">
      <w:pPr>
        <w:pStyle w:val="Listenabsatz"/>
        <w:numPr>
          <w:ilvl w:val="0"/>
          <w:numId w:val="16"/>
        </w:numPr>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lastRenderedPageBreak/>
        <w:t xml:space="preserve">to </w:t>
      </w:r>
      <w:r w:rsidR="00EC5338" w:rsidRPr="00EC5338">
        <w:rPr>
          <w:rFonts w:ascii="Times New Roman" w:hAnsi="Times New Roman" w:cs="Times New Roman"/>
          <w:sz w:val="24"/>
          <w:szCs w:val="24"/>
        </w:rPr>
        <w:t xml:space="preserve">take a step towards a single market in insurance supervision </w:t>
      </w:r>
      <w:r>
        <w:rPr>
          <w:rFonts w:ascii="Times New Roman" w:hAnsi="Times New Roman" w:cs="Times New Roman"/>
          <w:sz w:val="24"/>
          <w:szCs w:val="24"/>
        </w:rPr>
        <w:t>by moving</w:t>
      </w:r>
      <w:r w:rsidR="00EC5338" w:rsidRPr="00EC5338">
        <w:rPr>
          <w:rFonts w:ascii="Times New Roman" w:hAnsi="Times New Roman" w:cs="Times New Roman"/>
          <w:sz w:val="24"/>
          <w:szCs w:val="24"/>
        </w:rPr>
        <w:t xml:space="preserve"> to a maximum harmoni</w:t>
      </w:r>
      <w:r w:rsidR="00BC1AB1">
        <w:rPr>
          <w:rFonts w:ascii="Times New Roman" w:hAnsi="Times New Roman" w:cs="Times New Roman"/>
          <w:sz w:val="24"/>
          <w:szCs w:val="24"/>
        </w:rPr>
        <w:t>sing approach</w:t>
      </w:r>
      <w:r w:rsidR="00EC5338" w:rsidRPr="00EC5338">
        <w:rPr>
          <w:rFonts w:ascii="Times New Roman" w:hAnsi="Times New Roman" w:cs="Times New Roman"/>
          <w:sz w:val="24"/>
          <w:szCs w:val="24"/>
        </w:rPr>
        <w:t xml:space="preserve">; </w:t>
      </w:r>
    </w:p>
    <w:p w:rsidR="00EC5338" w:rsidRPr="00EC5338" w:rsidRDefault="00EC5338" w:rsidP="00EC5338">
      <w:pPr>
        <w:pStyle w:val="Listenabsatz"/>
        <w:numPr>
          <w:ilvl w:val="0"/>
          <w:numId w:val="16"/>
        </w:numPr>
        <w:spacing w:after="0" w:line="360" w:lineRule="auto"/>
        <w:ind w:left="1134"/>
        <w:jc w:val="both"/>
        <w:rPr>
          <w:rFonts w:ascii="Times New Roman" w:hAnsi="Times New Roman" w:cs="Times New Roman"/>
          <w:sz w:val="24"/>
          <w:szCs w:val="24"/>
        </w:rPr>
      </w:pPr>
      <w:r w:rsidRPr="00EC5338">
        <w:rPr>
          <w:rFonts w:ascii="Times New Roman" w:hAnsi="Times New Roman" w:cs="Times New Roman"/>
          <w:sz w:val="24"/>
          <w:szCs w:val="24"/>
        </w:rPr>
        <w:t>to bring the existing regime fully up to date so that it rests on a set of modern risk-sensitive principles and requirements.</w:t>
      </w:r>
      <w:r w:rsidR="00B14028">
        <w:rPr>
          <w:rStyle w:val="Funotenzeichen"/>
          <w:rFonts w:ascii="Times New Roman" w:hAnsi="Times New Roman" w:cs="Times New Roman"/>
          <w:sz w:val="24"/>
          <w:szCs w:val="24"/>
        </w:rPr>
        <w:footnoteReference w:id="18"/>
      </w:r>
    </w:p>
    <w:p w:rsidR="00BA02E9" w:rsidRPr="001055B5" w:rsidRDefault="00EC5338" w:rsidP="005B1DA4">
      <w:pPr>
        <w:spacing w:after="0" w:line="360" w:lineRule="auto"/>
        <w:ind w:firstLine="709"/>
        <w:jc w:val="both"/>
        <w:rPr>
          <w:rFonts w:ascii="Times New Roman" w:hAnsi="Times New Roman" w:cs="Times New Roman"/>
          <w:sz w:val="24"/>
          <w:szCs w:val="24"/>
        </w:rPr>
      </w:pPr>
      <w:r w:rsidRPr="00EC5338">
        <w:rPr>
          <w:rFonts w:ascii="Times New Roman" w:hAnsi="Times New Roman" w:cs="Times New Roman"/>
          <w:sz w:val="24"/>
          <w:szCs w:val="24"/>
        </w:rPr>
        <w:t xml:space="preserve"> </w:t>
      </w:r>
      <w:r w:rsidR="009F7728" w:rsidRPr="001055B5">
        <w:rPr>
          <w:rFonts w:ascii="Times New Roman" w:hAnsi="Times New Roman" w:cs="Times New Roman"/>
          <w:sz w:val="24"/>
          <w:szCs w:val="24"/>
        </w:rPr>
        <w:t xml:space="preserve">Solvency II </w:t>
      </w:r>
      <w:r w:rsidR="008E044E" w:rsidRPr="001055B5">
        <w:rPr>
          <w:rFonts w:ascii="Times New Roman" w:hAnsi="Times New Roman" w:cs="Times New Roman"/>
          <w:sz w:val="24"/>
          <w:szCs w:val="24"/>
        </w:rPr>
        <w:t xml:space="preserve">has </w:t>
      </w:r>
      <w:r w:rsidR="009F7728" w:rsidRPr="001055B5">
        <w:rPr>
          <w:rFonts w:ascii="Times New Roman" w:hAnsi="Times New Roman" w:cs="Times New Roman"/>
          <w:sz w:val="24"/>
          <w:szCs w:val="24"/>
        </w:rPr>
        <w:t>adopted a three-</w:t>
      </w:r>
      <w:r w:rsidR="003F2965" w:rsidRPr="001055B5">
        <w:rPr>
          <w:rFonts w:ascii="Times New Roman" w:hAnsi="Times New Roman" w:cs="Times New Roman"/>
          <w:sz w:val="24"/>
          <w:szCs w:val="24"/>
        </w:rPr>
        <w:t>pillar structure, drawing on the experience of Basel II regulation in the banking sector.</w:t>
      </w:r>
      <w:r w:rsidR="00E7191F" w:rsidRPr="001055B5">
        <w:rPr>
          <w:rStyle w:val="Funotenzeichen"/>
          <w:rFonts w:ascii="Times New Roman" w:hAnsi="Times New Roman" w:cs="Times New Roman"/>
          <w:sz w:val="24"/>
          <w:szCs w:val="24"/>
        </w:rPr>
        <w:footnoteReference w:id="19"/>
      </w:r>
      <w:r w:rsidR="003F2965" w:rsidRPr="001055B5">
        <w:rPr>
          <w:rFonts w:ascii="Times New Roman" w:hAnsi="Times New Roman" w:cs="Times New Roman"/>
          <w:sz w:val="24"/>
          <w:szCs w:val="24"/>
        </w:rPr>
        <w:t xml:space="preserve"> </w:t>
      </w:r>
      <w:r w:rsidR="000B254B" w:rsidRPr="001055B5">
        <w:rPr>
          <w:rFonts w:ascii="Times New Roman" w:hAnsi="Times New Roman" w:cs="Times New Roman"/>
          <w:sz w:val="24"/>
          <w:szCs w:val="24"/>
        </w:rPr>
        <w:t xml:space="preserve">The first pillar focuses on the capital requirements, the second deals with </w:t>
      </w:r>
      <w:r w:rsidR="003921ED" w:rsidRPr="001055B5">
        <w:rPr>
          <w:rFonts w:ascii="Times New Roman" w:hAnsi="Times New Roman" w:cs="Times New Roman"/>
          <w:sz w:val="24"/>
          <w:szCs w:val="24"/>
        </w:rPr>
        <w:t xml:space="preserve">governance of the undertakings and </w:t>
      </w:r>
      <w:r w:rsidR="003A52F2">
        <w:rPr>
          <w:rFonts w:ascii="Times New Roman" w:hAnsi="Times New Roman" w:cs="Times New Roman"/>
          <w:sz w:val="24"/>
          <w:szCs w:val="24"/>
        </w:rPr>
        <w:t>their supervision</w:t>
      </w:r>
      <w:r w:rsidR="003921ED" w:rsidRPr="001055B5">
        <w:rPr>
          <w:rFonts w:ascii="Times New Roman" w:hAnsi="Times New Roman" w:cs="Times New Roman"/>
          <w:sz w:val="24"/>
          <w:szCs w:val="24"/>
        </w:rPr>
        <w:t>,</w:t>
      </w:r>
      <w:r w:rsidR="000B254B" w:rsidRPr="001055B5">
        <w:rPr>
          <w:rFonts w:ascii="Times New Roman" w:hAnsi="Times New Roman" w:cs="Times New Roman"/>
          <w:sz w:val="24"/>
          <w:szCs w:val="24"/>
        </w:rPr>
        <w:t xml:space="preserve"> and the third concerns the</w:t>
      </w:r>
      <w:r w:rsidR="003921ED" w:rsidRPr="001055B5">
        <w:rPr>
          <w:rFonts w:ascii="Times New Roman" w:hAnsi="Times New Roman" w:cs="Times New Roman"/>
          <w:sz w:val="24"/>
          <w:szCs w:val="24"/>
        </w:rPr>
        <w:t xml:space="preserve"> transparency and</w:t>
      </w:r>
      <w:r w:rsidR="000B254B" w:rsidRPr="001055B5">
        <w:rPr>
          <w:rFonts w:ascii="Times New Roman" w:hAnsi="Times New Roman" w:cs="Times New Roman"/>
          <w:sz w:val="24"/>
          <w:szCs w:val="24"/>
        </w:rPr>
        <w:t xml:space="preserve"> </w:t>
      </w:r>
      <w:r w:rsidR="0055271B">
        <w:rPr>
          <w:rFonts w:ascii="Times New Roman" w:hAnsi="Times New Roman" w:cs="Times New Roman"/>
          <w:sz w:val="24"/>
          <w:szCs w:val="24"/>
        </w:rPr>
        <w:t xml:space="preserve">public </w:t>
      </w:r>
      <w:r w:rsidR="000B254B" w:rsidRPr="001055B5">
        <w:rPr>
          <w:rFonts w:ascii="Times New Roman" w:hAnsi="Times New Roman" w:cs="Times New Roman"/>
          <w:sz w:val="24"/>
          <w:szCs w:val="24"/>
        </w:rPr>
        <w:t xml:space="preserve">disclosures of insurance companies. For the </w:t>
      </w:r>
      <w:r w:rsidR="009F7728" w:rsidRPr="001055B5">
        <w:rPr>
          <w:rFonts w:ascii="Times New Roman" w:hAnsi="Times New Roman" w:cs="Times New Roman"/>
          <w:sz w:val="24"/>
          <w:szCs w:val="24"/>
        </w:rPr>
        <w:t>ease of understanding the three-</w:t>
      </w:r>
      <w:r w:rsidR="000B254B" w:rsidRPr="001055B5">
        <w:rPr>
          <w:rFonts w:ascii="Times New Roman" w:hAnsi="Times New Roman" w:cs="Times New Roman"/>
          <w:sz w:val="24"/>
          <w:szCs w:val="24"/>
        </w:rPr>
        <w:t xml:space="preserve">pillar structure of Solvency II </w:t>
      </w:r>
      <w:r w:rsidR="00CB345F" w:rsidRPr="001055B5">
        <w:rPr>
          <w:rFonts w:ascii="Times New Roman" w:hAnsi="Times New Roman" w:cs="Times New Roman"/>
          <w:sz w:val="24"/>
          <w:szCs w:val="24"/>
        </w:rPr>
        <w:t>is</w:t>
      </w:r>
      <w:r w:rsidR="00A30535">
        <w:rPr>
          <w:rFonts w:ascii="Times New Roman" w:hAnsi="Times New Roman" w:cs="Times New Roman"/>
          <w:sz w:val="24"/>
          <w:szCs w:val="24"/>
        </w:rPr>
        <w:t xml:space="preserve"> </w:t>
      </w:r>
      <w:r w:rsidR="000B254B" w:rsidRPr="001055B5">
        <w:rPr>
          <w:rFonts w:ascii="Times New Roman" w:hAnsi="Times New Roman" w:cs="Times New Roman"/>
          <w:sz w:val="24"/>
          <w:szCs w:val="24"/>
        </w:rPr>
        <w:t xml:space="preserve">presented </w:t>
      </w:r>
      <w:r w:rsidR="00CB345F" w:rsidRPr="001055B5">
        <w:rPr>
          <w:rFonts w:ascii="Times New Roman" w:hAnsi="Times New Roman" w:cs="Times New Roman"/>
          <w:sz w:val="24"/>
          <w:szCs w:val="24"/>
        </w:rPr>
        <w:t xml:space="preserve">in </w:t>
      </w:r>
      <w:r w:rsidR="00744ADC">
        <w:rPr>
          <w:rFonts w:ascii="Times New Roman" w:hAnsi="Times New Roman" w:cs="Times New Roman"/>
          <w:sz w:val="24"/>
          <w:szCs w:val="24"/>
        </w:rPr>
        <w:t xml:space="preserve">the </w:t>
      </w:r>
      <w:r w:rsidR="00CB345F" w:rsidRPr="001055B5">
        <w:rPr>
          <w:rFonts w:ascii="Times New Roman" w:hAnsi="Times New Roman" w:cs="Times New Roman"/>
          <w:sz w:val="24"/>
          <w:szCs w:val="24"/>
        </w:rPr>
        <w:t xml:space="preserve">Figure </w:t>
      </w:r>
      <w:r w:rsidR="00744ADC">
        <w:rPr>
          <w:rFonts w:ascii="Times New Roman" w:hAnsi="Times New Roman" w:cs="Times New Roman"/>
          <w:sz w:val="24"/>
          <w:szCs w:val="24"/>
        </w:rPr>
        <w:t>1</w:t>
      </w:r>
      <w:r w:rsidR="00192B01" w:rsidRPr="00192B01">
        <w:t xml:space="preserve"> </w:t>
      </w:r>
      <w:r w:rsidR="00192B01" w:rsidRPr="00192B01">
        <w:rPr>
          <w:rFonts w:ascii="Times New Roman" w:hAnsi="Times New Roman" w:cs="Times New Roman"/>
          <w:sz w:val="24"/>
          <w:szCs w:val="24"/>
        </w:rPr>
        <w:t>and is briefly discussed in the following subsections.</w:t>
      </w:r>
    </w:p>
    <w:p w:rsidR="000B254B" w:rsidRPr="001055B5" w:rsidRDefault="000B254B" w:rsidP="005B1DA4">
      <w:pPr>
        <w:spacing w:after="0" w:line="360" w:lineRule="auto"/>
        <w:ind w:firstLine="709"/>
        <w:jc w:val="both"/>
        <w:rPr>
          <w:rFonts w:ascii="Times New Roman" w:hAnsi="Times New Roman" w:cs="Times New Roman"/>
          <w:sz w:val="24"/>
          <w:szCs w:val="24"/>
        </w:rPr>
      </w:pPr>
      <w:r w:rsidRPr="001055B5">
        <w:rPr>
          <w:rFonts w:ascii="Times New Roman" w:hAnsi="Times New Roman" w:cs="Times New Roman"/>
          <w:noProof/>
          <w:sz w:val="24"/>
          <w:szCs w:val="24"/>
          <w:lang w:val="de-DE" w:eastAsia="de-DE"/>
        </w:rPr>
        <mc:AlternateContent>
          <mc:Choice Requires="wps">
            <w:drawing>
              <wp:anchor distT="0" distB="0" distL="114300" distR="114300" simplePos="0" relativeHeight="251684864" behindDoc="0" locked="0" layoutInCell="1" allowOverlap="1" wp14:anchorId="40527F32" wp14:editId="37E66E31">
                <wp:simplePos x="0" y="0"/>
                <wp:positionH relativeFrom="column">
                  <wp:posOffset>619125</wp:posOffset>
                </wp:positionH>
                <wp:positionV relativeFrom="paragraph">
                  <wp:posOffset>137160</wp:posOffset>
                </wp:positionV>
                <wp:extent cx="4864845" cy="685800"/>
                <wp:effectExtent l="0" t="0" r="12065" b="19050"/>
                <wp:wrapNone/>
                <wp:docPr id="14" name="Isosceles Triangle 14"/>
                <wp:cNvGraphicFramePr/>
                <a:graphic xmlns:a="http://schemas.openxmlformats.org/drawingml/2006/main">
                  <a:graphicData uri="http://schemas.microsoft.com/office/word/2010/wordprocessingShape">
                    <wps:wsp>
                      <wps:cNvSpPr/>
                      <wps:spPr>
                        <a:xfrm>
                          <a:off x="0" y="0"/>
                          <a:ext cx="4864845" cy="685800"/>
                        </a:xfrm>
                        <a:prstGeom prst="triangle">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7B1D1A" w:rsidRPr="006B65E8" w:rsidRDefault="007B1D1A" w:rsidP="00E67613">
                            <w:pPr>
                              <w:jc w:val="center"/>
                              <w:rPr>
                                <w:rFonts w:ascii="Times New Roman" w:hAnsi="Times New Roman" w:cs="Times New Roman"/>
                                <w:sz w:val="28"/>
                                <w:szCs w:val="28"/>
                                <w:lang w:val="sv-FI"/>
                              </w:rPr>
                            </w:pPr>
                            <w:r w:rsidRPr="00935498">
                              <w:rPr>
                                <w:rFonts w:ascii="Times New Roman" w:hAnsi="Times New Roman" w:cs="Times New Roman"/>
                                <w:sz w:val="28"/>
                                <w:szCs w:val="28"/>
                              </w:rPr>
                              <w:t>Solvency</w:t>
                            </w:r>
                            <w:r w:rsidRPr="006B65E8">
                              <w:rPr>
                                <w:rFonts w:ascii="Times New Roman" w:hAnsi="Times New Roman" w:cs="Times New Roman"/>
                                <w:sz w:val="28"/>
                                <w:szCs w:val="28"/>
                                <w:lang w:val="sv-FI"/>
                              </w:rPr>
                              <w:t xml:space="preserve"> II</w:t>
                            </w:r>
                          </w:p>
                          <w:p w:rsidR="007B1D1A" w:rsidRDefault="007B1D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0527F3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 o:spid="_x0000_s1026" type="#_x0000_t5" style="position:absolute;left:0;text-align:left;margin-left:48.75pt;margin-top:10.8pt;width:383.0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" fillcolor="#c0504d [3205]" strokecolor="#622423 [1605]" strokeweight="2pt">
                <v:textbox>
                  <w:txbxContent>
                    <w:p w:rsidR="007B1D1A" w:rsidRPr="006B65E8" w:rsidRDefault="007B1D1A" w:rsidP="00E67613">
                      <w:pPr>
                        <w:jc w:val="center"/>
                        <w:rPr>
                          <w:rFonts w:ascii="Times New Roman" w:hAnsi="Times New Roman" w:cs="Times New Roman"/>
                          <w:sz w:val="28"/>
                          <w:szCs w:val="28"/>
                          <w:lang w:val="sv-FI"/>
                        </w:rPr>
                      </w:pPr>
                      <w:r w:rsidRPr="00935498">
                        <w:rPr>
                          <w:rFonts w:ascii="Times New Roman" w:hAnsi="Times New Roman" w:cs="Times New Roman"/>
                          <w:sz w:val="28"/>
                          <w:szCs w:val="28"/>
                        </w:rPr>
                        <w:t>Solvency</w:t>
                      </w:r>
                      <w:r w:rsidRPr="006B65E8">
                        <w:rPr>
                          <w:rFonts w:ascii="Times New Roman" w:hAnsi="Times New Roman" w:cs="Times New Roman"/>
                          <w:sz w:val="28"/>
                          <w:szCs w:val="28"/>
                          <w:lang w:val="sv-FI"/>
                        </w:rPr>
                        <w:t xml:space="preserve"> II</w:t>
                      </w:r>
                    </w:p>
                    <w:p w:rsidR="007B1D1A" w:rsidRDefault="007B1D1A"/>
                  </w:txbxContent>
                </v:textbox>
              </v:shape>
            </w:pict>
          </mc:Fallback>
        </mc:AlternateContent>
      </w:r>
    </w:p>
    <w:p w:rsidR="000B254B" w:rsidRPr="001055B5" w:rsidRDefault="000B254B" w:rsidP="005B1DA4">
      <w:pPr>
        <w:spacing w:after="0" w:line="360" w:lineRule="auto"/>
        <w:ind w:firstLine="709"/>
        <w:jc w:val="both"/>
        <w:rPr>
          <w:rFonts w:ascii="Times New Roman" w:hAnsi="Times New Roman" w:cs="Times New Roman"/>
          <w:sz w:val="24"/>
          <w:szCs w:val="24"/>
        </w:rPr>
      </w:pPr>
    </w:p>
    <w:p w:rsidR="00E67613" w:rsidRPr="001055B5" w:rsidRDefault="00E67613" w:rsidP="005B1DA4">
      <w:pPr>
        <w:spacing w:after="0" w:line="360" w:lineRule="auto"/>
        <w:ind w:firstLine="709"/>
        <w:jc w:val="both"/>
        <w:rPr>
          <w:rFonts w:ascii="Times New Roman" w:hAnsi="Times New Roman" w:cs="Times New Roman"/>
          <w:sz w:val="24"/>
          <w:szCs w:val="24"/>
        </w:rPr>
      </w:pPr>
    </w:p>
    <w:p w:rsidR="0022110E" w:rsidRPr="001055B5" w:rsidRDefault="0022110E" w:rsidP="005B1DA4">
      <w:pPr>
        <w:spacing w:after="0" w:line="360" w:lineRule="auto"/>
        <w:ind w:firstLine="709"/>
        <w:jc w:val="both"/>
        <w:rPr>
          <w:rFonts w:ascii="Times New Roman" w:hAnsi="Times New Roman" w:cs="Times New Roman"/>
          <w:sz w:val="24"/>
          <w:szCs w:val="24"/>
        </w:rPr>
      </w:pPr>
    </w:p>
    <w:p w:rsidR="000B254B" w:rsidRPr="001055B5" w:rsidRDefault="00ED76E5" w:rsidP="005B1DA4">
      <w:pPr>
        <w:spacing w:after="0" w:line="360" w:lineRule="auto"/>
        <w:ind w:firstLine="709"/>
        <w:jc w:val="both"/>
        <w:rPr>
          <w:rFonts w:ascii="Times New Roman" w:hAnsi="Times New Roman" w:cs="Times New Roman"/>
          <w:sz w:val="24"/>
          <w:szCs w:val="24"/>
        </w:rPr>
      </w:pPr>
      <w:r w:rsidRPr="001055B5">
        <w:rPr>
          <w:rFonts w:ascii="Times New Roman" w:hAnsi="Times New Roman" w:cs="Times New Roman"/>
          <w:noProof/>
          <w:sz w:val="24"/>
          <w:szCs w:val="24"/>
          <w:lang w:val="de-DE" w:eastAsia="de-DE"/>
        </w:rPr>
        <mc:AlternateContent>
          <mc:Choice Requires="wps">
            <w:drawing>
              <wp:anchor distT="0" distB="0" distL="114300" distR="114300" simplePos="0" relativeHeight="251685888" behindDoc="0" locked="0" layoutInCell="1" allowOverlap="1" wp14:anchorId="1E1E1D27" wp14:editId="0451225C">
                <wp:simplePos x="0" y="0"/>
                <wp:positionH relativeFrom="column">
                  <wp:posOffset>619760</wp:posOffset>
                </wp:positionH>
                <wp:positionV relativeFrom="paragraph">
                  <wp:posOffset>32385</wp:posOffset>
                </wp:positionV>
                <wp:extent cx="1581785" cy="2178050"/>
                <wp:effectExtent l="0" t="0" r="18415" b="12700"/>
                <wp:wrapNone/>
                <wp:docPr id="26" name="Rectangle 26"/>
                <wp:cNvGraphicFramePr/>
                <a:graphic xmlns:a="http://schemas.openxmlformats.org/drawingml/2006/main">
                  <a:graphicData uri="http://schemas.microsoft.com/office/word/2010/wordprocessingShape">
                    <wps:wsp>
                      <wps:cNvSpPr/>
                      <wps:spPr>
                        <a:xfrm>
                          <a:off x="0" y="0"/>
                          <a:ext cx="1581785" cy="2178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1D1A" w:rsidRPr="00ED76E5" w:rsidRDefault="007B1D1A" w:rsidP="00ED76E5">
                            <w:pPr>
                              <w:spacing w:after="0"/>
                              <w:jc w:val="center"/>
                              <w:rPr>
                                <w:rFonts w:ascii="Times New Roman" w:hAnsi="Times New Roman" w:cs="Times New Roman"/>
                              </w:rPr>
                            </w:pPr>
                            <w:r w:rsidRPr="00ED76E5">
                              <w:rPr>
                                <w:rFonts w:ascii="Times New Roman" w:hAnsi="Times New Roman" w:cs="Times New Roman"/>
                              </w:rPr>
                              <w:t>Pillar I</w:t>
                            </w:r>
                          </w:p>
                          <w:p w:rsidR="007B1D1A" w:rsidRPr="00ED76E5" w:rsidRDefault="007B1D1A" w:rsidP="00ED76E5">
                            <w:pPr>
                              <w:spacing w:after="0"/>
                              <w:jc w:val="center"/>
                              <w:rPr>
                                <w:rFonts w:ascii="Times New Roman" w:hAnsi="Times New Roman" w:cs="Times New Roman"/>
                              </w:rPr>
                            </w:pPr>
                            <w:r w:rsidRPr="00ED76E5">
                              <w:rPr>
                                <w:rFonts w:ascii="Times New Roman" w:hAnsi="Times New Roman" w:cs="Times New Roman"/>
                              </w:rPr>
                              <w:t>(capital requirements)</w:t>
                            </w:r>
                          </w:p>
                          <w:p w:rsidR="007B1D1A" w:rsidRPr="00ED76E5" w:rsidRDefault="007B1D1A" w:rsidP="00ED76E5">
                            <w:pPr>
                              <w:spacing w:after="0"/>
                              <w:jc w:val="center"/>
                              <w:rPr>
                                <w:rFonts w:ascii="Times New Roman" w:hAnsi="Times New Roman" w:cs="Times New Roman"/>
                              </w:rPr>
                            </w:pPr>
                          </w:p>
                          <w:p w:rsidR="007B1D1A" w:rsidRPr="00ED76E5" w:rsidRDefault="007B1D1A" w:rsidP="00ED76E5">
                            <w:pPr>
                              <w:spacing w:after="0"/>
                              <w:jc w:val="center"/>
                              <w:rPr>
                                <w:rFonts w:ascii="Times New Roman" w:hAnsi="Times New Roman" w:cs="Times New Roman"/>
                              </w:rPr>
                            </w:pPr>
                            <w:r w:rsidRPr="00ED76E5">
                              <w:rPr>
                                <w:rFonts w:ascii="Times New Roman" w:hAnsi="Times New Roman" w:cs="Times New Roman"/>
                              </w:rPr>
                              <w:t xml:space="preserve">- Solvency capital requirements </w:t>
                            </w:r>
                          </w:p>
                          <w:p w:rsidR="007B1D1A" w:rsidRPr="00ED76E5" w:rsidRDefault="007B1D1A" w:rsidP="00ED76E5">
                            <w:pPr>
                              <w:spacing w:after="0"/>
                              <w:jc w:val="center"/>
                              <w:rPr>
                                <w:rFonts w:ascii="Times New Roman" w:hAnsi="Times New Roman" w:cs="Times New Roman"/>
                              </w:rPr>
                            </w:pPr>
                            <w:r w:rsidRPr="00ED76E5">
                              <w:rPr>
                                <w:rFonts w:ascii="Times New Roman" w:hAnsi="Times New Roman" w:cs="Times New Roman"/>
                              </w:rPr>
                              <w:t>- Rules on valuation of assets</w:t>
                            </w:r>
                          </w:p>
                          <w:p w:rsidR="007B1D1A" w:rsidRPr="00ED76E5" w:rsidRDefault="007B1D1A" w:rsidP="00ED76E5">
                            <w:pPr>
                              <w:spacing w:after="0"/>
                              <w:jc w:val="center"/>
                              <w:rPr>
                                <w:rFonts w:ascii="Times New Roman" w:hAnsi="Times New Roman" w:cs="Times New Roman"/>
                              </w:rPr>
                            </w:pPr>
                            <w:r w:rsidRPr="00ED76E5">
                              <w:rPr>
                                <w:rFonts w:ascii="Times New Roman" w:hAnsi="Times New Roman" w:cs="Times New Roman"/>
                              </w:rPr>
                              <w:t>- Types of own funds</w:t>
                            </w:r>
                          </w:p>
                          <w:p w:rsidR="007B1D1A" w:rsidRPr="00ED76E5" w:rsidRDefault="007B1D1A" w:rsidP="00ED76E5">
                            <w:pPr>
                              <w:spacing w:after="0"/>
                              <w:jc w:val="center"/>
                              <w:rPr>
                                <w:rFonts w:ascii="Times New Roman" w:hAnsi="Times New Roman" w:cs="Times New Roman"/>
                              </w:rPr>
                            </w:pPr>
                            <w:r w:rsidRPr="00ED76E5">
                              <w:rPr>
                                <w:rFonts w:ascii="Times New Roman" w:hAnsi="Times New Roman" w:cs="Times New Roman"/>
                              </w:rPr>
                              <w:t>-Rules on calculation of technical provisions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E1E1D27" id="Rectangle 26" o:spid="_x0000_s1027" style="position:absolute;left:0;text-align:left;margin-left:48.8pt;margin-top:2.55pt;width:124.55pt;height:17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" fillcolor="#4f81bd [3204]" strokecolor="#243f60 [1604]" strokeweight="2pt">
                <v:textbox>
                  <w:txbxContent>
                    <w:p w:rsidR="007B1D1A" w:rsidRPr="00ED76E5" w:rsidRDefault="007B1D1A" w:rsidP="00ED76E5">
                      <w:pPr>
                        <w:spacing w:after="0"/>
                        <w:jc w:val="center"/>
                        <w:rPr>
                          <w:rFonts w:ascii="Times New Roman" w:hAnsi="Times New Roman" w:cs="Times New Roman"/>
                        </w:rPr>
                      </w:pPr>
                      <w:r w:rsidRPr="00ED76E5">
                        <w:rPr>
                          <w:rFonts w:ascii="Times New Roman" w:hAnsi="Times New Roman" w:cs="Times New Roman"/>
                        </w:rPr>
                        <w:t>Pillar I</w:t>
                      </w:r>
                    </w:p>
                    <w:p w:rsidR="007B1D1A" w:rsidRPr="00ED76E5" w:rsidRDefault="007B1D1A" w:rsidP="00ED76E5">
                      <w:pPr>
                        <w:spacing w:after="0"/>
                        <w:jc w:val="center"/>
                        <w:rPr>
                          <w:rFonts w:ascii="Times New Roman" w:hAnsi="Times New Roman" w:cs="Times New Roman"/>
                        </w:rPr>
                      </w:pPr>
                      <w:r w:rsidRPr="00ED76E5">
                        <w:rPr>
                          <w:rFonts w:ascii="Times New Roman" w:hAnsi="Times New Roman" w:cs="Times New Roman"/>
                        </w:rPr>
                        <w:t>(</w:t>
                      </w:r>
                      <w:proofErr w:type="gramStart"/>
                      <w:r w:rsidRPr="00ED76E5">
                        <w:rPr>
                          <w:rFonts w:ascii="Times New Roman" w:hAnsi="Times New Roman" w:cs="Times New Roman"/>
                        </w:rPr>
                        <w:t>capital</w:t>
                      </w:r>
                      <w:proofErr w:type="gramEnd"/>
                      <w:r w:rsidRPr="00ED76E5">
                        <w:rPr>
                          <w:rFonts w:ascii="Times New Roman" w:hAnsi="Times New Roman" w:cs="Times New Roman"/>
                        </w:rPr>
                        <w:t xml:space="preserve"> requirements)</w:t>
                      </w:r>
                    </w:p>
                    <w:p w:rsidR="007B1D1A" w:rsidRPr="00ED76E5" w:rsidRDefault="007B1D1A" w:rsidP="00ED76E5">
                      <w:pPr>
                        <w:spacing w:after="0"/>
                        <w:jc w:val="center"/>
                        <w:rPr>
                          <w:rFonts w:ascii="Times New Roman" w:hAnsi="Times New Roman" w:cs="Times New Roman"/>
                        </w:rPr>
                      </w:pPr>
                    </w:p>
                    <w:p w:rsidR="007B1D1A" w:rsidRPr="00ED76E5" w:rsidRDefault="007B1D1A" w:rsidP="00ED76E5">
                      <w:pPr>
                        <w:spacing w:after="0"/>
                        <w:jc w:val="center"/>
                        <w:rPr>
                          <w:rFonts w:ascii="Times New Roman" w:hAnsi="Times New Roman" w:cs="Times New Roman"/>
                        </w:rPr>
                      </w:pPr>
                      <w:r w:rsidRPr="00ED76E5">
                        <w:rPr>
                          <w:rFonts w:ascii="Times New Roman" w:hAnsi="Times New Roman" w:cs="Times New Roman"/>
                        </w:rPr>
                        <w:t xml:space="preserve">- Solvency capital requirements </w:t>
                      </w:r>
                    </w:p>
                    <w:p w:rsidR="007B1D1A" w:rsidRPr="00ED76E5" w:rsidRDefault="007B1D1A" w:rsidP="00ED76E5">
                      <w:pPr>
                        <w:spacing w:after="0"/>
                        <w:jc w:val="center"/>
                        <w:rPr>
                          <w:rFonts w:ascii="Times New Roman" w:hAnsi="Times New Roman" w:cs="Times New Roman"/>
                        </w:rPr>
                      </w:pPr>
                      <w:r w:rsidRPr="00ED76E5">
                        <w:rPr>
                          <w:rFonts w:ascii="Times New Roman" w:hAnsi="Times New Roman" w:cs="Times New Roman"/>
                        </w:rPr>
                        <w:t>- Rules on valuation of assets</w:t>
                      </w:r>
                    </w:p>
                    <w:p w:rsidR="007B1D1A" w:rsidRPr="00ED76E5" w:rsidRDefault="007B1D1A" w:rsidP="00ED76E5">
                      <w:pPr>
                        <w:spacing w:after="0"/>
                        <w:jc w:val="center"/>
                        <w:rPr>
                          <w:rFonts w:ascii="Times New Roman" w:hAnsi="Times New Roman" w:cs="Times New Roman"/>
                        </w:rPr>
                      </w:pPr>
                      <w:r w:rsidRPr="00ED76E5">
                        <w:rPr>
                          <w:rFonts w:ascii="Times New Roman" w:hAnsi="Times New Roman" w:cs="Times New Roman"/>
                        </w:rPr>
                        <w:t>- Types of own funds</w:t>
                      </w:r>
                    </w:p>
                    <w:p w:rsidR="007B1D1A" w:rsidRPr="00ED76E5" w:rsidRDefault="007B1D1A" w:rsidP="00ED76E5">
                      <w:pPr>
                        <w:spacing w:after="0"/>
                        <w:jc w:val="center"/>
                        <w:rPr>
                          <w:rFonts w:ascii="Times New Roman" w:hAnsi="Times New Roman" w:cs="Times New Roman"/>
                        </w:rPr>
                      </w:pPr>
                      <w:r w:rsidRPr="00ED76E5">
                        <w:rPr>
                          <w:rFonts w:ascii="Times New Roman" w:hAnsi="Times New Roman" w:cs="Times New Roman"/>
                        </w:rPr>
                        <w:t>-Rules on calculation of technical provisions</w:t>
                      </w:r>
                    </w:p>
                  </w:txbxContent>
                </v:textbox>
              </v:rect>
            </w:pict>
          </mc:Fallback>
        </mc:AlternateContent>
      </w:r>
      <w:r w:rsidRPr="001055B5">
        <w:rPr>
          <w:rFonts w:ascii="Times New Roman" w:hAnsi="Times New Roman" w:cs="Times New Roman"/>
          <w:noProof/>
          <w:sz w:val="24"/>
          <w:szCs w:val="24"/>
          <w:lang w:val="de-DE" w:eastAsia="de-DE"/>
        </w:rPr>
        <mc:AlternateContent>
          <mc:Choice Requires="wps">
            <w:drawing>
              <wp:anchor distT="0" distB="0" distL="114300" distR="114300" simplePos="0" relativeHeight="251687936" behindDoc="0" locked="0" layoutInCell="1" allowOverlap="1" wp14:anchorId="379FD7F3" wp14:editId="0A2C456B">
                <wp:simplePos x="0" y="0"/>
                <wp:positionH relativeFrom="column">
                  <wp:posOffset>2305464</wp:posOffset>
                </wp:positionH>
                <wp:positionV relativeFrom="paragraph">
                  <wp:posOffset>32385</wp:posOffset>
                </wp:positionV>
                <wp:extent cx="1581785" cy="2178050"/>
                <wp:effectExtent l="0" t="0" r="18415" b="12700"/>
                <wp:wrapNone/>
                <wp:docPr id="29" name="Rectangle 29"/>
                <wp:cNvGraphicFramePr/>
                <a:graphic xmlns:a="http://schemas.openxmlformats.org/drawingml/2006/main">
                  <a:graphicData uri="http://schemas.microsoft.com/office/word/2010/wordprocessingShape">
                    <wps:wsp>
                      <wps:cNvSpPr/>
                      <wps:spPr>
                        <a:xfrm>
                          <a:off x="0" y="0"/>
                          <a:ext cx="1581785" cy="2178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1D1A" w:rsidRPr="00841CB8" w:rsidRDefault="007B1D1A" w:rsidP="00ED76E5">
                            <w:pPr>
                              <w:spacing w:after="0"/>
                              <w:jc w:val="center"/>
                              <w:rPr>
                                <w:rFonts w:ascii="Times New Roman" w:hAnsi="Times New Roman" w:cs="Times New Roman"/>
                                <w:lang w:val="en-US"/>
                              </w:rPr>
                            </w:pPr>
                            <w:r w:rsidRPr="00841CB8">
                              <w:rPr>
                                <w:rFonts w:ascii="Times New Roman" w:hAnsi="Times New Roman" w:cs="Times New Roman"/>
                                <w:lang w:val="en-US"/>
                              </w:rPr>
                              <w:t>Pillar II</w:t>
                            </w:r>
                          </w:p>
                          <w:p w:rsidR="007B1D1A" w:rsidRPr="00841CB8" w:rsidRDefault="007B1D1A" w:rsidP="00ED76E5">
                            <w:pPr>
                              <w:spacing w:after="0"/>
                              <w:jc w:val="center"/>
                              <w:rPr>
                                <w:rFonts w:ascii="Times New Roman" w:hAnsi="Times New Roman" w:cs="Times New Roman"/>
                                <w:lang w:val="en-US"/>
                              </w:rPr>
                            </w:pPr>
                            <w:r w:rsidRPr="00841CB8">
                              <w:rPr>
                                <w:rFonts w:ascii="Times New Roman" w:hAnsi="Times New Roman" w:cs="Times New Roman"/>
                                <w:lang w:val="en-US"/>
                              </w:rPr>
                              <w:t>(regulatory supervision)</w:t>
                            </w:r>
                          </w:p>
                          <w:p w:rsidR="007B1D1A" w:rsidRPr="00841CB8" w:rsidRDefault="007B1D1A" w:rsidP="00ED76E5">
                            <w:pPr>
                              <w:spacing w:after="0"/>
                              <w:jc w:val="center"/>
                              <w:rPr>
                                <w:rFonts w:ascii="Times New Roman" w:hAnsi="Times New Roman" w:cs="Times New Roman"/>
                                <w:lang w:val="en-US"/>
                              </w:rPr>
                            </w:pPr>
                          </w:p>
                          <w:p w:rsidR="007B1D1A" w:rsidRPr="006B65E8" w:rsidRDefault="007B1D1A" w:rsidP="006B65E8">
                            <w:pPr>
                              <w:spacing w:after="0"/>
                              <w:jc w:val="center"/>
                              <w:rPr>
                                <w:rFonts w:ascii="Times New Roman" w:hAnsi="Times New Roman" w:cs="Times New Roman"/>
                                <w:lang w:val="en-US"/>
                              </w:rPr>
                            </w:pPr>
                            <w:r w:rsidRPr="006B65E8">
                              <w:rPr>
                                <w:rFonts w:ascii="Times New Roman" w:hAnsi="Times New Roman" w:cs="Times New Roman"/>
                                <w:lang w:val="en-US"/>
                              </w:rPr>
                              <w:t>- Principles of supervision</w:t>
                            </w:r>
                          </w:p>
                          <w:p w:rsidR="007B1D1A" w:rsidRPr="006B65E8" w:rsidRDefault="007B1D1A" w:rsidP="006B65E8">
                            <w:pPr>
                              <w:spacing w:after="0"/>
                              <w:jc w:val="center"/>
                              <w:rPr>
                                <w:rFonts w:ascii="Times New Roman" w:hAnsi="Times New Roman" w:cs="Times New Roman"/>
                                <w:lang w:val="en-US"/>
                              </w:rPr>
                            </w:pPr>
                            <w:r w:rsidRPr="006B65E8">
                              <w:rPr>
                                <w:rFonts w:ascii="Times New Roman" w:hAnsi="Times New Roman" w:cs="Times New Roman"/>
                                <w:lang w:val="en-US"/>
                              </w:rPr>
                              <w:t>- Internal control</w:t>
                            </w:r>
                          </w:p>
                          <w:p w:rsidR="007B1D1A" w:rsidRPr="006B65E8" w:rsidRDefault="007B1D1A" w:rsidP="006B65E8">
                            <w:pPr>
                              <w:spacing w:after="0"/>
                              <w:jc w:val="center"/>
                              <w:rPr>
                                <w:rFonts w:ascii="Times New Roman" w:hAnsi="Times New Roman" w:cs="Times New Roman"/>
                                <w:lang w:val="en-US"/>
                              </w:rPr>
                            </w:pPr>
                            <w:r w:rsidRPr="006B65E8">
                              <w:rPr>
                                <w:rFonts w:ascii="Times New Roman" w:hAnsi="Times New Roman" w:cs="Times New Roman"/>
                                <w:lang w:val="en-US"/>
                              </w:rPr>
                              <w:t>- Own risk solvency assessment (ORSA)</w:t>
                            </w:r>
                          </w:p>
                          <w:p w:rsidR="007B1D1A" w:rsidRPr="006B65E8" w:rsidRDefault="007B1D1A" w:rsidP="006B65E8">
                            <w:pPr>
                              <w:spacing w:after="0"/>
                              <w:jc w:val="center"/>
                              <w:rPr>
                                <w:rFonts w:ascii="Times New Roman" w:hAnsi="Times New Roman" w:cs="Times New Roman"/>
                                <w:lang w:val="en-US"/>
                              </w:rPr>
                            </w:pPr>
                            <w:r>
                              <w:rPr>
                                <w:rFonts w:ascii="Times New Roman" w:hAnsi="Times New Roman" w:cs="Times New Roman"/>
                                <w:lang w:val="en-US"/>
                              </w:rPr>
                              <w:t>- Supervisory review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79FD7F3" id="Rectangle 29" o:spid="_x0000_s1028" style="position:absolute;left:0;text-align:left;margin-left:181.55pt;margin-top:2.55pt;width:124.55pt;height:1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" fillcolor="#4f81bd [3204]" strokecolor="#243f60 [1604]" strokeweight="2pt">
                <v:textbox>
                  <w:txbxContent>
                    <w:p w:rsidR="007B1D1A" w:rsidRPr="00841CB8" w:rsidRDefault="007B1D1A" w:rsidP="00ED76E5">
                      <w:pPr>
                        <w:spacing w:after="0"/>
                        <w:jc w:val="center"/>
                        <w:rPr>
                          <w:rFonts w:ascii="Times New Roman" w:hAnsi="Times New Roman" w:cs="Times New Roman"/>
                          <w:lang w:val="en-US"/>
                        </w:rPr>
                      </w:pPr>
                      <w:r w:rsidRPr="00841CB8">
                        <w:rPr>
                          <w:rFonts w:ascii="Times New Roman" w:hAnsi="Times New Roman" w:cs="Times New Roman"/>
                          <w:lang w:val="en-US"/>
                        </w:rPr>
                        <w:t>Pillar II</w:t>
                      </w:r>
                    </w:p>
                    <w:p w:rsidR="007B1D1A" w:rsidRPr="00841CB8" w:rsidRDefault="007B1D1A" w:rsidP="00ED76E5">
                      <w:pPr>
                        <w:spacing w:after="0"/>
                        <w:jc w:val="center"/>
                        <w:rPr>
                          <w:rFonts w:ascii="Times New Roman" w:hAnsi="Times New Roman" w:cs="Times New Roman"/>
                          <w:lang w:val="en-US"/>
                        </w:rPr>
                      </w:pPr>
                      <w:r w:rsidRPr="00841CB8">
                        <w:rPr>
                          <w:rFonts w:ascii="Times New Roman" w:hAnsi="Times New Roman" w:cs="Times New Roman"/>
                          <w:lang w:val="en-US"/>
                        </w:rPr>
                        <w:t>(</w:t>
                      </w:r>
                      <w:proofErr w:type="gramStart"/>
                      <w:r w:rsidRPr="00841CB8">
                        <w:rPr>
                          <w:rFonts w:ascii="Times New Roman" w:hAnsi="Times New Roman" w:cs="Times New Roman"/>
                          <w:lang w:val="en-US"/>
                        </w:rPr>
                        <w:t>regulatory</w:t>
                      </w:r>
                      <w:proofErr w:type="gramEnd"/>
                      <w:r w:rsidRPr="00841CB8">
                        <w:rPr>
                          <w:rFonts w:ascii="Times New Roman" w:hAnsi="Times New Roman" w:cs="Times New Roman"/>
                          <w:lang w:val="en-US"/>
                        </w:rPr>
                        <w:t xml:space="preserve"> supervision)</w:t>
                      </w:r>
                    </w:p>
                    <w:p w:rsidR="007B1D1A" w:rsidRPr="00841CB8" w:rsidRDefault="007B1D1A" w:rsidP="00ED76E5">
                      <w:pPr>
                        <w:spacing w:after="0"/>
                        <w:jc w:val="center"/>
                        <w:rPr>
                          <w:rFonts w:ascii="Times New Roman" w:hAnsi="Times New Roman" w:cs="Times New Roman"/>
                          <w:lang w:val="en-US"/>
                        </w:rPr>
                      </w:pPr>
                    </w:p>
                    <w:p w:rsidR="007B1D1A" w:rsidRPr="006B65E8" w:rsidRDefault="007B1D1A" w:rsidP="006B65E8">
                      <w:pPr>
                        <w:spacing w:after="0"/>
                        <w:jc w:val="center"/>
                        <w:rPr>
                          <w:rFonts w:ascii="Times New Roman" w:hAnsi="Times New Roman" w:cs="Times New Roman"/>
                          <w:lang w:val="en-US"/>
                        </w:rPr>
                      </w:pPr>
                      <w:r w:rsidRPr="006B65E8">
                        <w:rPr>
                          <w:rFonts w:ascii="Times New Roman" w:hAnsi="Times New Roman" w:cs="Times New Roman"/>
                          <w:lang w:val="en-US"/>
                        </w:rPr>
                        <w:t>- Principles of supervision</w:t>
                      </w:r>
                    </w:p>
                    <w:p w:rsidR="007B1D1A" w:rsidRPr="006B65E8" w:rsidRDefault="007B1D1A" w:rsidP="006B65E8">
                      <w:pPr>
                        <w:spacing w:after="0"/>
                        <w:jc w:val="center"/>
                        <w:rPr>
                          <w:rFonts w:ascii="Times New Roman" w:hAnsi="Times New Roman" w:cs="Times New Roman"/>
                          <w:lang w:val="en-US"/>
                        </w:rPr>
                      </w:pPr>
                      <w:r w:rsidRPr="006B65E8">
                        <w:rPr>
                          <w:rFonts w:ascii="Times New Roman" w:hAnsi="Times New Roman" w:cs="Times New Roman"/>
                          <w:lang w:val="en-US"/>
                        </w:rPr>
                        <w:t>- Internal control</w:t>
                      </w:r>
                    </w:p>
                    <w:p w:rsidR="007B1D1A" w:rsidRPr="006B65E8" w:rsidRDefault="007B1D1A" w:rsidP="006B65E8">
                      <w:pPr>
                        <w:spacing w:after="0"/>
                        <w:jc w:val="center"/>
                        <w:rPr>
                          <w:rFonts w:ascii="Times New Roman" w:hAnsi="Times New Roman" w:cs="Times New Roman"/>
                          <w:lang w:val="en-US"/>
                        </w:rPr>
                      </w:pPr>
                      <w:r w:rsidRPr="006B65E8">
                        <w:rPr>
                          <w:rFonts w:ascii="Times New Roman" w:hAnsi="Times New Roman" w:cs="Times New Roman"/>
                          <w:lang w:val="en-US"/>
                        </w:rPr>
                        <w:t>- Own risk solvency assessment (ORSA)</w:t>
                      </w:r>
                    </w:p>
                    <w:p w:rsidR="007B1D1A" w:rsidRPr="006B65E8" w:rsidRDefault="007B1D1A" w:rsidP="006B65E8">
                      <w:pPr>
                        <w:spacing w:after="0"/>
                        <w:jc w:val="center"/>
                        <w:rPr>
                          <w:rFonts w:ascii="Times New Roman" w:hAnsi="Times New Roman" w:cs="Times New Roman"/>
                          <w:lang w:val="en-US"/>
                        </w:rPr>
                      </w:pPr>
                      <w:r>
                        <w:rPr>
                          <w:rFonts w:ascii="Times New Roman" w:hAnsi="Times New Roman" w:cs="Times New Roman"/>
                          <w:lang w:val="en-US"/>
                        </w:rPr>
                        <w:t>- Supervisory review process</w:t>
                      </w:r>
                    </w:p>
                  </w:txbxContent>
                </v:textbox>
              </v:rect>
            </w:pict>
          </mc:Fallback>
        </mc:AlternateContent>
      </w:r>
      <w:r w:rsidRPr="001055B5">
        <w:rPr>
          <w:rFonts w:ascii="Times New Roman" w:hAnsi="Times New Roman" w:cs="Times New Roman"/>
          <w:noProof/>
          <w:sz w:val="24"/>
          <w:szCs w:val="24"/>
          <w:lang w:val="de-DE" w:eastAsia="de-DE"/>
        </w:rPr>
        <mc:AlternateContent>
          <mc:Choice Requires="wps">
            <w:drawing>
              <wp:anchor distT="0" distB="0" distL="114300" distR="114300" simplePos="0" relativeHeight="251689984" behindDoc="0" locked="0" layoutInCell="1" allowOverlap="1" wp14:anchorId="5F6FDFED" wp14:editId="61EE80EE">
                <wp:simplePos x="0" y="0"/>
                <wp:positionH relativeFrom="column">
                  <wp:posOffset>3975100</wp:posOffset>
                </wp:positionH>
                <wp:positionV relativeFrom="paragraph">
                  <wp:posOffset>32385</wp:posOffset>
                </wp:positionV>
                <wp:extent cx="1509395" cy="2178050"/>
                <wp:effectExtent l="0" t="0" r="14605" b="12700"/>
                <wp:wrapNone/>
                <wp:docPr id="30" name="Rectangle 30"/>
                <wp:cNvGraphicFramePr/>
                <a:graphic xmlns:a="http://schemas.openxmlformats.org/drawingml/2006/main">
                  <a:graphicData uri="http://schemas.microsoft.com/office/word/2010/wordprocessingShape">
                    <wps:wsp>
                      <wps:cNvSpPr/>
                      <wps:spPr>
                        <a:xfrm>
                          <a:off x="0" y="0"/>
                          <a:ext cx="1509395" cy="2178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1D1A" w:rsidRPr="00841CB8" w:rsidRDefault="007B1D1A" w:rsidP="006B65E8">
                            <w:pPr>
                              <w:spacing w:after="0"/>
                              <w:jc w:val="center"/>
                              <w:rPr>
                                <w:rFonts w:ascii="Times New Roman" w:hAnsi="Times New Roman" w:cs="Times New Roman"/>
                                <w:lang w:val="en-US"/>
                              </w:rPr>
                            </w:pPr>
                            <w:r w:rsidRPr="00841CB8">
                              <w:rPr>
                                <w:rFonts w:ascii="Times New Roman" w:hAnsi="Times New Roman" w:cs="Times New Roman"/>
                                <w:lang w:val="en-US"/>
                              </w:rPr>
                              <w:t>Pillar III</w:t>
                            </w:r>
                          </w:p>
                          <w:p w:rsidR="007B1D1A" w:rsidRPr="00841CB8" w:rsidRDefault="007B1D1A" w:rsidP="006B65E8">
                            <w:pPr>
                              <w:spacing w:after="0"/>
                              <w:jc w:val="center"/>
                              <w:rPr>
                                <w:rFonts w:ascii="Times New Roman" w:hAnsi="Times New Roman" w:cs="Times New Roman"/>
                                <w:lang w:val="en-US"/>
                              </w:rPr>
                            </w:pPr>
                            <w:r w:rsidRPr="00841CB8">
                              <w:rPr>
                                <w:rFonts w:ascii="Times New Roman" w:hAnsi="Times New Roman" w:cs="Times New Roman"/>
                                <w:lang w:val="en-US"/>
                              </w:rPr>
                              <w:t xml:space="preserve">(reporting) </w:t>
                            </w:r>
                          </w:p>
                          <w:p w:rsidR="007B1D1A" w:rsidRPr="00841CB8" w:rsidRDefault="007B1D1A" w:rsidP="006B65E8">
                            <w:pPr>
                              <w:spacing w:after="0"/>
                              <w:jc w:val="center"/>
                              <w:rPr>
                                <w:rFonts w:ascii="Times New Roman" w:hAnsi="Times New Roman" w:cs="Times New Roman"/>
                                <w:lang w:val="en-US"/>
                              </w:rPr>
                            </w:pPr>
                          </w:p>
                          <w:p w:rsidR="007B1D1A" w:rsidRPr="00841CB8" w:rsidRDefault="007B1D1A" w:rsidP="006B65E8">
                            <w:pPr>
                              <w:spacing w:after="0"/>
                              <w:jc w:val="center"/>
                              <w:rPr>
                                <w:rFonts w:ascii="Times New Roman" w:hAnsi="Times New Roman" w:cs="Times New Roman"/>
                                <w:lang w:val="en-US"/>
                              </w:rPr>
                            </w:pPr>
                            <w:r w:rsidRPr="00841CB8">
                              <w:rPr>
                                <w:rFonts w:ascii="Times New Roman" w:hAnsi="Times New Roman" w:cs="Times New Roman"/>
                                <w:lang w:val="en-US"/>
                              </w:rPr>
                              <w:t xml:space="preserve">- Supervisory reporting </w:t>
                            </w:r>
                          </w:p>
                          <w:p w:rsidR="007B1D1A" w:rsidRPr="00841CB8" w:rsidRDefault="007B1D1A" w:rsidP="006B65E8">
                            <w:pPr>
                              <w:spacing w:after="0"/>
                              <w:jc w:val="center"/>
                              <w:rPr>
                                <w:rFonts w:ascii="Times New Roman" w:hAnsi="Times New Roman" w:cs="Times New Roman"/>
                                <w:lang w:val="en-US"/>
                              </w:rPr>
                            </w:pPr>
                            <w:r w:rsidRPr="00841CB8">
                              <w:rPr>
                                <w:rFonts w:ascii="Times New Roman" w:hAnsi="Times New Roman" w:cs="Times New Roman"/>
                                <w:lang w:val="en-US"/>
                              </w:rPr>
                              <w:t>- Public disclosure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F6FDFED" id="Rectangle 30" o:spid="_x0000_s1029" style="position:absolute;left:0;text-align:left;margin-left:313pt;margin-top:2.55pt;width:118.85pt;height:17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" fillcolor="#4f81bd [3204]" strokecolor="#243f60 [1604]" strokeweight="2pt">
                <v:textbox>
                  <w:txbxContent>
                    <w:p w:rsidR="007B1D1A" w:rsidRPr="00841CB8" w:rsidRDefault="007B1D1A" w:rsidP="006B65E8">
                      <w:pPr>
                        <w:spacing w:after="0"/>
                        <w:jc w:val="center"/>
                        <w:rPr>
                          <w:rFonts w:ascii="Times New Roman" w:hAnsi="Times New Roman" w:cs="Times New Roman"/>
                          <w:lang w:val="en-US"/>
                        </w:rPr>
                      </w:pPr>
                      <w:r w:rsidRPr="00841CB8">
                        <w:rPr>
                          <w:rFonts w:ascii="Times New Roman" w:hAnsi="Times New Roman" w:cs="Times New Roman"/>
                          <w:lang w:val="en-US"/>
                        </w:rPr>
                        <w:t>Pillar III</w:t>
                      </w:r>
                    </w:p>
                    <w:p w:rsidR="007B1D1A" w:rsidRPr="00841CB8" w:rsidRDefault="007B1D1A" w:rsidP="006B65E8">
                      <w:pPr>
                        <w:spacing w:after="0"/>
                        <w:jc w:val="center"/>
                        <w:rPr>
                          <w:rFonts w:ascii="Times New Roman" w:hAnsi="Times New Roman" w:cs="Times New Roman"/>
                          <w:lang w:val="en-US"/>
                        </w:rPr>
                      </w:pPr>
                      <w:r w:rsidRPr="00841CB8">
                        <w:rPr>
                          <w:rFonts w:ascii="Times New Roman" w:hAnsi="Times New Roman" w:cs="Times New Roman"/>
                          <w:lang w:val="en-US"/>
                        </w:rPr>
                        <w:t>(</w:t>
                      </w:r>
                      <w:proofErr w:type="gramStart"/>
                      <w:r w:rsidRPr="00841CB8">
                        <w:rPr>
                          <w:rFonts w:ascii="Times New Roman" w:hAnsi="Times New Roman" w:cs="Times New Roman"/>
                          <w:lang w:val="en-US"/>
                        </w:rPr>
                        <w:t>reporting</w:t>
                      </w:r>
                      <w:proofErr w:type="gramEnd"/>
                      <w:r w:rsidRPr="00841CB8">
                        <w:rPr>
                          <w:rFonts w:ascii="Times New Roman" w:hAnsi="Times New Roman" w:cs="Times New Roman"/>
                          <w:lang w:val="en-US"/>
                        </w:rPr>
                        <w:t xml:space="preserve">) </w:t>
                      </w:r>
                    </w:p>
                    <w:p w:rsidR="007B1D1A" w:rsidRPr="00841CB8" w:rsidRDefault="007B1D1A" w:rsidP="006B65E8">
                      <w:pPr>
                        <w:spacing w:after="0"/>
                        <w:jc w:val="center"/>
                        <w:rPr>
                          <w:rFonts w:ascii="Times New Roman" w:hAnsi="Times New Roman" w:cs="Times New Roman"/>
                          <w:lang w:val="en-US"/>
                        </w:rPr>
                      </w:pPr>
                    </w:p>
                    <w:p w:rsidR="007B1D1A" w:rsidRPr="00841CB8" w:rsidRDefault="007B1D1A" w:rsidP="006B65E8">
                      <w:pPr>
                        <w:spacing w:after="0"/>
                        <w:jc w:val="center"/>
                        <w:rPr>
                          <w:rFonts w:ascii="Times New Roman" w:hAnsi="Times New Roman" w:cs="Times New Roman"/>
                          <w:lang w:val="en-US"/>
                        </w:rPr>
                      </w:pPr>
                      <w:r w:rsidRPr="00841CB8">
                        <w:rPr>
                          <w:rFonts w:ascii="Times New Roman" w:hAnsi="Times New Roman" w:cs="Times New Roman"/>
                          <w:lang w:val="en-US"/>
                        </w:rPr>
                        <w:t xml:space="preserve">- Supervisory reporting </w:t>
                      </w:r>
                    </w:p>
                    <w:p w:rsidR="007B1D1A" w:rsidRPr="00841CB8" w:rsidRDefault="007B1D1A" w:rsidP="006B65E8">
                      <w:pPr>
                        <w:spacing w:after="0"/>
                        <w:jc w:val="center"/>
                        <w:rPr>
                          <w:rFonts w:ascii="Times New Roman" w:hAnsi="Times New Roman" w:cs="Times New Roman"/>
                          <w:lang w:val="en-US"/>
                        </w:rPr>
                      </w:pPr>
                      <w:r w:rsidRPr="00841CB8">
                        <w:rPr>
                          <w:rFonts w:ascii="Times New Roman" w:hAnsi="Times New Roman" w:cs="Times New Roman"/>
                          <w:lang w:val="en-US"/>
                        </w:rPr>
                        <w:t>- Public disclosure</w:t>
                      </w:r>
                    </w:p>
                  </w:txbxContent>
                </v:textbox>
              </v:rect>
            </w:pict>
          </mc:Fallback>
        </mc:AlternateContent>
      </w:r>
    </w:p>
    <w:p w:rsidR="000B254B" w:rsidRPr="001055B5" w:rsidRDefault="00ED76E5" w:rsidP="005B1DA4">
      <w:pPr>
        <w:spacing w:after="0" w:line="360" w:lineRule="auto"/>
        <w:ind w:firstLine="709"/>
        <w:jc w:val="both"/>
        <w:rPr>
          <w:rFonts w:ascii="Times New Roman" w:hAnsi="Times New Roman" w:cs="Times New Roman"/>
          <w:sz w:val="24"/>
          <w:szCs w:val="24"/>
        </w:rPr>
      </w:pPr>
      <w:r w:rsidRPr="001055B5">
        <w:rPr>
          <w:rFonts w:ascii="Times New Roman" w:hAnsi="Times New Roman" w:cs="Times New Roman"/>
          <w:noProof/>
          <w:sz w:val="24"/>
          <w:szCs w:val="24"/>
          <w:lang w:val="de-DE" w:eastAsia="de-DE"/>
        </w:rPr>
        <mc:AlternateContent>
          <mc:Choice Requires="wps">
            <w:drawing>
              <wp:anchor distT="0" distB="0" distL="114300" distR="114300" simplePos="0" relativeHeight="251695104" behindDoc="0" locked="0" layoutInCell="1" allowOverlap="1" wp14:anchorId="15D511A4" wp14:editId="2A1278A0">
                <wp:simplePos x="0" y="0"/>
                <wp:positionH relativeFrom="column">
                  <wp:posOffset>3975100</wp:posOffset>
                </wp:positionH>
                <wp:positionV relativeFrom="paragraph">
                  <wp:posOffset>223520</wp:posOffset>
                </wp:positionV>
                <wp:extent cx="1509395" cy="0"/>
                <wp:effectExtent l="38100" t="38100" r="52705" b="95250"/>
                <wp:wrapNone/>
                <wp:docPr id="33" name="Straight Connector 33"/>
                <wp:cNvGraphicFramePr/>
                <a:graphic xmlns:a="http://schemas.openxmlformats.org/drawingml/2006/main">
                  <a:graphicData uri="http://schemas.microsoft.com/office/word/2010/wordprocessingShape">
                    <wps:wsp>
                      <wps:cNvCnPr/>
                      <wps:spPr>
                        <a:xfrm>
                          <a:off x="0" y="0"/>
                          <a:ext cx="15093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34C6C5BD" id="Straight Connector 33"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3pt,17.6pt" to="431.8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" strokecolor="black [3200]" strokeweight="2pt">
                <v:shadow on="t" color="black" opacity="24903f" origin=",.5" offset="0,.55556mm"/>
              </v:line>
            </w:pict>
          </mc:Fallback>
        </mc:AlternateContent>
      </w:r>
      <w:r w:rsidRPr="001055B5">
        <w:rPr>
          <w:rFonts w:ascii="Times New Roman" w:hAnsi="Times New Roman" w:cs="Times New Roman"/>
          <w:noProof/>
          <w:sz w:val="24"/>
          <w:szCs w:val="24"/>
          <w:lang w:val="de-DE" w:eastAsia="de-DE"/>
        </w:rPr>
        <mc:AlternateContent>
          <mc:Choice Requires="wps">
            <w:drawing>
              <wp:anchor distT="0" distB="0" distL="114300" distR="114300" simplePos="0" relativeHeight="251693056" behindDoc="0" locked="0" layoutInCell="1" allowOverlap="1" wp14:anchorId="21AA66DF" wp14:editId="21393D33">
                <wp:simplePos x="0" y="0"/>
                <wp:positionH relativeFrom="column">
                  <wp:posOffset>2305685</wp:posOffset>
                </wp:positionH>
                <wp:positionV relativeFrom="paragraph">
                  <wp:posOffset>223520</wp:posOffset>
                </wp:positionV>
                <wp:extent cx="1581785" cy="0"/>
                <wp:effectExtent l="38100" t="38100" r="56515" b="95250"/>
                <wp:wrapNone/>
                <wp:docPr id="32" name="Straight Connector 32"/>
                <wp:cNvGraphicFramePr/>
                <a:graphic xmlns:a="http://schemas.openxmlformats.org/drawingml/2006/main">
                  <a:graphicData uri="http://schemas.microsoft.com/office/word/2010/wordprocessingShape">
                    <wps:wsp>
                      <wps:cNvCnPr/>
                      <wps:spPr>
                        <a:xfrm>
                          <a:off x="0" y="0"/>
                          <a:ext cx="158178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0A37E58" id="Straight Connector 32" o:spid="_x0000_s1026" style="position:absolute;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1.55pt,17.6pt" to="306.1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" strokecolor="black [3200]" strokeweight="2pt">
                <v:shadow on="t" color="black" opacity="24903f" origin=",.5" offset="0,.55556mm"/>
              </v:line>
            </w:pict>
          </mc:Fallback>
        </mc:AlternateContent>
      </w:r>
      <w:r w:rsidRPr="001055B5">
        <w:rPr>
          <w:rFonts w:ascii="Times New Roman" w:hAnsi="Times New Roman" w:cs="Times New Roman"/>
          <w:noProof/>
          <w:sz w:val="24"/>
          <w:szCs w:val="24"/>
          <w:lang w:val="de-DE" w:eastAsia="de-DE"/>
        </w:rPr>
        <mc:AlternateContent>
          <mc:Choice Requires="wps">
            <w:drawing>
              <wp:anchor distT="0" distB="0" distL="114300" distR="114300" simplePos="0" relativeHeight="251691008" behindDoc="0" locked="0" layoutInCell="1" allowOverlap="1" wp14:anchorId="2BED8C3E" wp14:editId="532A01A3">
                <wp:simplePos x="0" y="0"/>
                <wp:positionH relativeFrom="column">
                  <wp:posOffset>619760</wp:posOffset>
                </wp:positionH>
                <wp:positionV relativeFrom="paragraph">
                  <wp:posOffset>223520</wp:posOffset>
                </wp:positionV>
                <wp:extent cx="1581785" cy="0"/>
                <wp:effectExtent l="38100" t="38100" r="56515" b="95250"/>
                <wp:wrapNone/>
                <wp:docPr id="31" name="Straight Connector 31"/>
                <wp:cNvGraphicFramePr/>
                <a:graphic xmlns:a="http://schemas.openxmlformats.org/drawingml/2006/main">
                  <a:graphicData uri="http://schemas.microsoft.com/office/word/2010/wordprocessingShape">
                    <wps:wsp>
                      <wps:cNvCnPr/>
                      <wps:spPr>
                        <a:xfrm>
                          <a:off x="0" y="0"/>
                          <a:ext cx="158178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2B26BE9" id="Straight Connector 3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8pt,17.6pt" to="173.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" strokecolor="black [3200]" strokeweight="2pt">
                <v:shadow on="t" color="black" opacity="24903f" origin=",.5" offset="0,.55556mm"/>
              </v:line>
            </w:pict>
          </mc:Fallback>
        </mc:AlternateContent>
      </w:r>
    </w:p>
    <w:p w:rsidR="000B254B" w:rsidRPr="001055B5" w:rsidRDefault="000B254B" w:rsidP="005B1DA4">
      <w:pPr>
        <w:spacing w:after="0" w:line="360" w:lineRule="auto"/>
        <w:ind w:firstLine="709"/>
        <w:jc w:val="both"/>
        <w:rPr>
          <w:rFonts w:ascii="Times New Roman" w:hAnsi="Times New Roman" w:cs="Times New Roman"/>
          <w:sz w:val="24"/>
          <w:szCs w:val="24"/>
        </w:rPr>
      </w:pPr>
    </w:p>
    <w:p w:rsidR="000B254B" w:rsidRPr="001055B5" w:rsidRDefault="000B254B" w:rsidP="005B1DA4">
      <w:pPr>
        <w:spacing w:after="0" w:line="360" w:lineRule="auto"/>
        <w:ind w:firstLine="709"/>
        <w:jc w:val="both"/>
        <w:rPr>
          <w:rFonts w:ascii="Times New Roman" w:hAnsi="Times New Roman" w:cs="Times New Roman"/>
          <w:sz w:val="24"/>
          <w:szCs w:val="24"/>
        </w:rPr>
      </w:pPr>
    </w:p>
    <w:p w:rsidR="000B254B" w:rsidRPr="001055B5" w:rsidRDefault="000B254B" w:rsidP="005B1DA4">
      <w:pPr>
        <w:spacing w:after="0" w:line="360" w:lineRule="auto"/>
        <w:ind w:firstLine="709"/>
        <w:jc w:val="both"/>
        <w:rPr>
          <w:rFonts w:ascii="Times New Roman" w:hAnsi="Times New Roman" w:cs="Times New Roman"/>
          <w:sz w:val="24"/>
          <w:szCs w:val="24"/>
        </w:rPr>
      </w:pPr>
    </w:p>
    <w:p w:rsidR="000B254B" w:rsidRPr="001055B5" w:rsidRDefault="000B254B" w:rsidP="005B1DA4">
      <w:pPr>
        <w:spacing w:after="0" w:line="360" w:lineRule="auto"/>
        <w:ind w:firstLine="709"/>
        <w:jc w:val="both"/>
        <w:rPr>
          <w:rFonts w:ascii="Times New Roman" w:hAnsi="Times New Roman" w:cs="Times New Roman"/>
          <w:sz w:val="24"/>
          <w:szCs w:val="24"/>
        </w:rPr>
      </w:pPr>
    </w:p>
    <w:p w:rsidR="000B254B" w:rsidRPr="001055B5" w:rsidRDefault="000B254B" w:rsidP="005B1DA4">
      <w:pPr>
        <w:spacing w:after="0" w:line="360" w:lineRule="auto"/>
        <w:ind w:firstLine="709"/>
        <w:jc w:val="both"/>
        <w:rPr>
          <w:rFonts w:ascii="Times New Roman" w:hAnsi="Times New Roman" w:cs="Times New Roman"/>
          <w:sz w:val="24"/>
          <w:szCs w:val="24"/>
        </w:rPr>
      </w:pPr>
    </w:p>
    <w:p w:rsidR="000B254B" w:rsidRPr="001055B5" w:rsidRDefault="000B254B" w:rsidP="005B1DA4">
      <w:pPr>
        <w:spacing w:after="0" w:line="360" w:lineRule="auto"/>
        <w:ind w:firstLine="709"/>
        <w:jc w:val="both"/>
        <w:rPr>
          <w:rFonts w:ascii="Times New Roman" w:hAnsi="Times New Roman" w:cs="Times New Roman"/>
          <w:sz w:val="24"/>
          <w:szCs w:val="24"/>
        </w:rPr>
      </w:pPr>
    </w:p>
    <w:p w:rsidR="000B254B" w:rsidRPr="001055B5" w:rsidRDefault="000B254B" w:rsidP="005B1DA4">
      <w:pPr>
        <w:spacing w:after="0" w:line="360" w:lineRule="auto"/>
        <w:ind w:firstLine="709"/>
        <w:jc w:val="both"/>
        <w:rPr>
          <w:rFonts w:ascii="Times New Roman" w:hAnsi="Times New Roman" w:cs="Times New Roman"/>
          <w:sz w:val="24"/>
          <w:szCs w:val="24"/>
        </w:rPr>
      </w:pPr>
    </w:p>
    <w:p w:rsidR="000B254B" w:rsidRPr="001055B5" w:rsidRDefault="006B65E8" w:rsidP="005B1DA4">
      <w:pPr>
        <w:spacing w:after="0" w:line="360" w:lineRule="auto"/>
        <w:ind w:firstLine="709"/>
        <w:jc w:val="both"/>
        <w:rPr>
          <w:rFonts w:ascii="Times New Roman" w:hAnsi="Times New Roman" w:cs="Times New Roman"/>
          <w:sz w:val="20"/>
          <w:szCs w:val="20"/>
        </w:rPr>
      </w:pPr>
      <w:r w:rsidRPr="001055B5">
        <w:rPr>
          <w:rFonts w:ascii="Times New Roman" w:hAnsi="Times New Roman" w:cs="Times New Roman"/>
          <w:sz w:val="20"/>
          <w:szCs w:val="20"/>
        </w:rPr>
        <w:t xml:space="preserve">Figure </w:t>
      </w:r>
      <w:r w:rsidR="00744ADC">
        <w:rPr>
          <w:rFonts w:ascii="Times New Roman" w:hAnsi="Times New Roman" w:cs="Times New Roman"/>
          <w:sz w:val="20"/>
          <w:szCs w:val="20"/>
        </w:rPr>
        <w:t>1</w:t>
      </w:r>
      <w:r w:rsidRPr="001055B5">
        <w:rPr>
          <w:rFonts w:ascii="Times New Roman" w:hAnsi="Times New Roman" w:cs="Times New Roman"/>
          <w:sz w:val="20"/>
          <w:szCs w:val="20"/>
        </w:rPr>
        <w:t xml:space="preserve"> Structure of Solvency II. </w:t>
      </w:r>
    </w:p>
    <w:p w:rsidR="000B254B" w:rsidRPr="001055B5" w:rsidRDefault="000B254B" w:rsidP="005B1DA4">
      <w:pPr>
        <w:spacing w:after="0" w:line="360" w:lineRule="auto"/>
        <w:ind w:firstLine="709"/>
        <w:jc w:val="both"/>
        <w:rPr>
          <w:rFonts w:ascii="Times New Roman" w:hAnsi="Times New Roman" w:cs="Times New Roman"/>
          <w:sz w:val="24"/>
          <w:szCs w:val="24"/>
        </w:rPr>
      </w:pPr>
    </w:p>
    <w:p w:rsidR="00AD7C61" w:rsidRPr="001055B5" w:rsidRDefault="00A053F0" w:rsidP="005B1DA4">
      <w:pPr>
        <w:spacing w:after="0" w:line="360" w:lineRule="auto"/>
        <w:ind w:firstLine="709"/>
        <w:jc w:val="both"/>
        <w:rPr>
          <w:rFonts w:ascii="Times New Roman" w:hAnsi="Times New Roman" w:cs="Times New Roman"/>
          <w:b/>
          <w:sz w:val="24"/>
          <w:szCs w:val="24"/>
        </w:rPr>
      </w:pPr>
      <w:r w:rsidRPr="001055B5">
        <w:rPr>
          <w:rFonts w:ascii="Times New Roman" w:hAnsi="Times New Roman" w:cs="Times New Roman"/>
          <w:b/>
          <w:sz w:val="24"/>
          <w:szCs w:val="24"/>
        </w:rPr>
        <w:t>2.</w:t>
      </w:r>
      <w:r w:rsidR="00235B98" w:rsidRPr="001055B5">
        <w:rPr>
          <w:rFonts w:ascii="Times New Roman" w:hAnsi="Times New Roman" w:cs="Times New Roman"/>
          <w:b/>
          <w:sz w:val="24"/>
          <w:szCs w:val="24"/>
        </w:rPr>
        <w:t>1</w:t>
      </w:r>
      <w:r w:rsidR="00F65709" w:rsidRPr="001055B5">
        <w:rPr>
          <w:rFonts w:ascii="Times New Roman" w:hAnsi="Times New Roman" w:cs="Times New Roman"/>
          <w:b/>
          <w:sz w:val="24"/>
          <w:szCs w:val="24"/>
        </w:rPr>
        <w:t xml:space="preserve"> </w:t>
      </w:r>
      <w:r w:rsidR="00EE4CCC" w:rsidRPr="001055B5">
        <w:rPr>
          <w:rFonts w:ascii="Times New Roman" w:hAnsi="Times New Roman" w:cs="Times New Roman"/>
          <w:b/>
          <w:sz w:val="24"/>
          <w:szCs w:val="24"/>
        </w:rPr>
        <w:t>C</w:t>
      </w:r>
      <w:r w:rsidR="00AD7C61" w:rsidRPr="001055B5">
        <w:rPr>
          <w:rFonts w:ascii="Times New Roman" w:hAnsi="Times New Roman" w:cs="Times New Roman"/>
          <w:b/>
          <w:sz w:val="24"/>
          <w:szCs w:val="24"/>
        </w:rPr>
        <w:t>apital requirements</w:t>
      </w:r>
    </w:p>
    <w:p w:rsidR="00260FEB" w:rsidRPr="001055B5" w:rsidRDefault="00DD7142" w:rsidP="00CD7CD8">
      <w:pPr>
        <w:spacing w:after="0" w:line="360" w:lineRule="auto"/>
        <w:jc w:val="both"/>
        <w:rPr>
          <w:rFonts w:ascii="Times New Roman" w:hAnsi="Times New Roman" w:cs="Times New Roman"/>
          <w:sz w:val="24"/>
          <w:szCs w:val="24"/>
        </w:rPr>
      </w:pPr>
      <w:r w:rsidRPr="001055B5">
        <w:rPr>
          <w:rFonts w:ascii="Times New Roman" w:hAnsi="Times New Roman" w:cs="Times New Roman"/>
          <w:sz w:val="24"/>
          <w:szCs w:val="24"/>
        </w:rPr>
        <w:t xml:space="preserve">Solvency I employs a fixed-ratio model where company’s capital requirements are calculated based on the amount of its technical provisions. For non-life firms the </w:t>
      </w:r>
      <w:r w:rsidR="00051166" w:rsidRPr="001055B5">
        <w:rPr>
          <w:rFonts w:ascii="Times New Roman" w:hAnsi="Times New Roman" w:cs="Times New Roman"/>
          <w:sz w:val="24"/>
          <w:szCs w:val="24"/>
        </w:rPr>
        <w:t xml:space="preserve">solvency capital </w:t>
      </w:r>
      <w:r w:rsidR="00051166" w:rsidRPr="001055B5">
        <w:rPr>
          <w:rFonts w:ascii="Times New Roman" w:hAnsi="Times New Roman" w:cs="Times New Roman"/>
          <w:sz w:val="24"/>
          <w:szCs w:val="24"/>
        </w:rPr>
        <w:lastRenderedPageBreak/>
        <w:t>requirements are</w:t>
      </w:r>
      <w:r w:rsidR="007976C9" w:rsidRPr="001055B5">
        <w:rPr>
          <w:rFonts w:ascii="Times New Roman" w:hAnsi="Times New Roman" w:cs="Times New Roman"/>
          <w:sz w:val="24"/>
          <w:szCs w:val="24"/>
        </w:rPr>
        <w:t xml:space="preserve"> </w:t>
      </w:r>
      <w:r w:rsidR="005F3974" w:rsidRPr="001055B5">
        <w:rPr>
          <w:rFonts w:ascii="Times New Roman" w:hAnsi="Times New Roman" w:cs="Times New Roman"/>
          <w:sz w:val="24"/>
          <w:szCs w:val="24"/>
        </w:rPr>
        <w:t>determined</w:t>
      </w:r>
      <w:r w:rsidR="007976C9" w:rsidRPr="001055B5">
        <w:rPr>
          <w:rFonts w:ascii="Times New Roman" w:hAnsi="Times New Roman" w:cs="Times New Roman"/>
          <w:sz w:val="24"/>
          <w:szCs w:val="24"/>
        </w:rPr>
        <w:t xml:space="preserve"> based on</w:t>
      </w:r>
      <w:r w:rsidRPr="001055B5">
        <w:rPr>
          <w:rFonts w:ascii="Times New Roman" w:hAnsi="Times New Roman" w:cs="Times New Roman"/>
          <w:sz w:val="24"/>
          <w:szCs w:val="24"/>
        </w:rPr>
        <w:t xml:space="preserve"> annual amount of premiums or average claims for the past three years</w:t>
      </w:r>
      <w:r w:rsidR="007976C9" w:rsidRPr="001055B5">
        <w:rPr>
          <w:rFonts w:ascii="Times New Roman" w:hAnsi="Times New Roman" w:cs="Times New Roman"/>
          <w:sz w:val="24"/>
          <w:szCs w:val="24"/>
        </w:rPr>
        <w:t xml:space="preserve">, depending which </w:t>
      </w:r>
      <w:r w:rsidR="004F0A76">
        <w:rPr>
          <w:rFonts w:ascii="Times New Roman" w:hAnsi="Times New Roman" w:cs="Times New Roman"/>
          <w:sz w:val="24"/>
          <w:szCs w:val="24"/>
        </w:rPr>
        <w:t xml:space="preserve">one </w:t>
      </w:r>
      <w:r w:rsidR="007976C9" w:rsidRPr="001055B5">
        <w:rPr>
          <w:rFonts w:ascii="Times New Roman" w:hAnsi="Times New Roman" w:cs="Times New Roman"/>
          <w:sz w:val="24"/>
          <w:szCs w:val="24"/>
        </w:rPr>
        <w:t>is higher</w:t>
      </w:r>
      <w:r w:rsidRPr="001055B5">
        <w:rPr>
          <w:rFonts w:ascii="Times New Roman" w:hAnsi="Times New Roman" w:cs="Times New Roman"/>
          <w:sz w:val="24"/>
          <w:szCs w:val="24"/>
        </w:rPr>
        <w:t>.</w:t>
      </w:r>
      <w:r w:rsidR="003246A9" w:rsidRPr="001055B5">
        <w:rPr>
          <w:rStyle w:val="Funotenzeichen"/>
          <w:rFonts w:ascii="Times New Roman" w:hAnsi="Times New Roman" w:cs="Times New Roman"/>
          <w:sz w:val="24"/>
          <w:szCs w:val="24"/>
        </w:rPr>
        <w:footnoteReference w:id="20"/>
      </w:r>
      <w:r w:rsidRPr="001055B5">
        <w:rPr>
          <w:rFonts w:ascii="Times New Roman" w:hAnsi="Times New Roman" w:cs="Times New Roman"/>
          <w:sz w:val="24"/>
          <w:szCs w:val="24"/>
        </w:rPr>
        <w:t xml:space="preserve"> </w:t>
      </w:r>
    </w:p>
    <w:p w:rsidR="00DD7142" w:rsidRPr="001055B5" w:rsidRDefault="00260FEB" w:rsidP="005B1DA4">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t xml:space="preserve">Solvency II changes this approach introducing a </w:t>
      </w:r>
      <w:r w:rsidR="006E73F0" w:rsidRPr="001055B5">
        <w:rPr>
          <w:rFonts w:ascii="Times New Roman" w:hAnsi="Times New Roman" w:cs="Times New Roman"/>
          <w:sz w:val="24"/>
          <w:szCs w:val="24"/>
        </w:rPr>
        <w:t xml:space="preserve">market-consistent valuation of </w:t>
      </w:r>
      <w:r w:rsidR="005F3974" w:rsidRPr="001055B5">
        <w:rPr>
          <w:rFonts w:ascii="Times New Roman" w:hAnsi="Times New Roman" w:cs="Times New Roman"/>
          <w:sz w:val="24"/>
          <w:szCs w:val="24"/>
        </w:rPr>
        <w:t>the whole balance sheet</w:t>
      </w:r>
      <w:r w:rsidR="006E73F0" w:rsidRPr="001055B5">
        <w:rPr>
          <w:rFonts w:ascii="Times New Roman" w:hAnsi="Times New Roman" w:cs="Times New Roman"/>
          <w:sz w:val="24"/>
          <w:szCs w:val="24"/>
        </w:rPr>
        <w:t xml:space="preserve"> together with </w:t>
      </w:r>
      <w:r w:rsidR="003E06FC">
        <w:rPr>
          <w:rFonts w:ascii="Times New Roman" w:hAnsi="Times New Roman" w:cs="Times New Roman"/>
          <w:sz w:val="24"/>
          <w:szCs w:val="24"/>
        </w:rPr>
        <w:t xml:space="preserve">applying </w:t>
      </w:r>
      <w:r w:rsidR="006E73F0" w:rsidRPr="001055B5">
        <w:rPr>
          <w:rFonts w:ascii="Times New Roman" w:hAnsi="Times New Roman" w:cs="Times New Roman"/>
          <w:sz w:val="24"/>
          <w:szCs w:val="24"/>
        </w:rPr>
        <w:t xml:space="preserve">a </w:t>
      </w:r>
      <w:r w:rsidRPr="001055B5">
        <w:rPr>
          <w:rFonts w:ascii="Times New Roman" w:hAnsi="Times New Roman" w:cs="Times New Roman"/>
          <w:sz w:val="24"/>
          <w:szCs w:val="24"/>
        </w:rPr>
        <w:t xml:space="preserve">risk-based model. Consequently the capital requirements </w:t>
      </w:r>
      <w:r w:rsidR="003E06FC">
        <w:rPr>
          <w:rFonts w:ascii="Times New Roman" w:hAnsi="Times New Roman" w:cs="Times New Roman"/>
          <w:sz w:val="24"/>
          <w:szCs w:val="24"/>
        </w:rPr>
        <w:t>largely</w:t>
      </w:r>
      <w:r w:rsidRPr="001055B5">
        <w:rPr>
          <w:rFonts w:ascii="Times New Roman" w:hAnsi="Times New Roman" w:cs="Times New Roman"/>
          <w:sz w:val="24"/>
          <w:szCs w:val="24"/>
        </w:rPr>
        <w:t xml:space="preserve"> depend on the riskiness of company’s profile – the higher the risk</w:t>
      </w:r>
      <w:r w:rsidR="006E73F0" w:rsidRPr="001055B5">
        <w:rPr>
          <w:rFonts w:ascii="Times New Roman" w:hAnsi="Times New Roman" w:cs="Times New Roman"/>
          <w:sz w:val="24"/>
          <w:szCs w:val="24"/>
        </w:rPr>
        <w:t>s</w:t>
      </w:r>
      <w:r w:rsidRPr="001055B5">
        <w:rPr>
          <w:rFonts w:ascii="Times New Roman" w:hAnsi="Times New Roman" w:cs="Times New Roman"/>
          <w:sz w:val="24"/>
          <w:szCs w:val="24"/>
        </w:rPr>
        <w:t xml:space="preserve"> a firm is underwriting, the more capital it needs to have to back them. </w:t>
      </w:r>
      <w:r w:rsidR="006E73F0" w:rsidRPr="001055B5">
        <w:rPr>
          <w:rFonts w:ascii="Times New Roman" w:hAnsi="Times New Roman" w:cs="Times New Roman"/>
          <w:sz w:val="24"/>
          <w:szCs w:val="24"/>
        </w:rPr>
        <w:t>The purpose of the</w:t>
      </w:r>
      <w:r w:rsidR="00867337" w:rsidRPr="001055B5">
        <w:rPr>
          <w:rFonts w:ascii="Times New Roman" w:hAnsi="Times New Roman" w:cs="Times New Roman"/>
          <w:sz w:val="24"/>
          <w:szCs w:val="24"/>
        </w:rPr>
        <w:t xml:space="preserve"> new</w:t>
      </w:r>
      <w:r w:rsidR="006E73F0" w:rsidRPr="001055B5">
        <w:rPr>
          <w:rFonts w:ascii="Times New Roman" w:hAnsi="Times New Roman" w:cs="Times New Roman"/>
          <w:sz w:val="24"/>
          <w:szCs w:val="24"/>
        </w:rPr>
        <w:t xml:space="preserve"> model is to stimulate proactive risk management and reduce the chances of failure. </w:t>
      </w:r>
      <w:r w:rsidR="00CD7CD8">
        <w:rPr>
          <w:rFonts w:ascii="Times New Roman" w:hAnsi="Times New Roman" w:cs="Times New Roman"/>
          <w:sz w:val="24"/>
          <w:szCs w:val="24"/>
        </w:rPr>
        <w:t>I</w:t>
      </w:r>
      <w:r w:rsidR="00867337" w:rsidRPr="001055B5">
        <w:rPr>
          <w:rFonts w:ascii="Times New Roman" w:hAnsi="Times New Roman" w:cs="Times New Roman"/>
          <w:sz w:val="24"/>
          <w:szCs w:val="24"/>
        </w:rPr>
        <w:t xml:space="preserve">n practice that means greater capital charges for some companies, especially those where lines with relatively low volume of premiums </w:t>
      </w:r>
      <w:r w:rsidR="005F3974" w:rsidRPr="001055B5">
        <w:rPr>
          <w:rFonts w:ascii="Times New Roman" w:hAnsi="Times New Roman" w:cs="Times New Roman"/>
          <w:sz w:val="24"/>
          <w:szCs w:val="24"/>
        </w:rPr>
        <w:t>contain</w:t>
      </w:r>
      <w:r w:rsidR="00867337" w:rsidRPr="001055B5">
        <w:rPr>
          <w:rFonts w:ascii="Times New Roman" w:hAnsi="Times New Roman" w:cs="Times New Roman"/>
          <w:sz w:val="24"/>
          <w:szCs w:val="24"/>
        </w:rPr>
        <w:t xml:space="preserve"> high risk policies. </w:t>
      </w:r>
      <w:r w:rsidR="00460FCA" w:rsidRPr="001055B5">
        <w:rPr>
          <w:rFonts w:ascii="Times New Roman" w:hAnsi="Times New Roman" w:cs="Times New Roman"/>
          <w:sz w:val="24"/>
          <w:szCs w:val="24"/>
        </w:rPr>
        <w:t xml:space="preserve">As a result the importance of efficient capital </w:t>
      </w:r>
      <w:r w:rsidR="00C50B8B" w:rsidRPr="001055B5">
        <w:rPr>
          <w:rFonts w:ascii="Times New Roman" w:hAnsi="Times New Roman" w:cs="Times New Roman"/>
          <w:sz w:val="24"/>
          <w:szCs w:val="24"/>
        </w:rPr>
        <w:t xml:space="preserve">allocation </w:t>
      </w:r>
      <w:r w:rsidR="00460FCA" w:rsidRPr="001055B5">
        <w:rPr>
          <w:rFonts w:ascii="Times New Roman" w:hAnsi="Times New Roman" w:cs="Times New Roman"/>
          <w:sz w:val="24"/>
          <w:szCs w:val="24"/>
        </w:rPr>
        <w:t xml:space="preserve">and </w:t>
      </w:r>
      <w:r w:rsidR="00C50B8B" w:rsidRPr="001055B5">
        <w:rPr>
          <w:rFonts w:ascii="Times New Roman" w:hAnsi="Times New Roman" w:cs="Times New Roman"/>
          <w:sz w:val="24"/>
          <w:szCs w:val="24"/>
        </w:rPr>
        <w:t xml:space="preserve">management </w:t>
      </w:r>
      <w:r w:rsidR="00460FCA" w:rsidRPr="001055B5">
        <w:rPr>
          <w:rFonts w:ascii="Times New Roman" w:hAnsi="Times New Roman" w:cs="Times New Roman"/>
          <w:sz w:val="24"/>
          <w:szCs w:val="24"/>
        </w:rPr>
        <w:t xml:space="preserve">increases substantially.  </w:t>
      </w:r>
    </w:p>
    <w:p w:rsidR="00321EC7" w:rsidRPr="001055B5" w:rsidRDefault="00321EC7" w:rsidP="005B1DA4">
      <w:pPr>
        <w:spacing w:after="0" w:line="360" w:lineRule="auto"/>
        <w:ind w:firstLine="720"/>
        <w:jc w:val="both"/>
        <w:rPr>
          <w:rFonts w:ascii="Times New Roman" w:hAnsi="Times New Roman" w:cs="Times New Roman"/>
          <w:sz w:val="24"/>
          <w:szCs w:val="24"/>
        </w:rPr>
      </w:pPr>
    </w:p>
    <w:p w:rsidR="00321EC7" w:rsidRPr="001055B5" w:rsidRDefault="00BB24FE" w:rsidP="00FE2932">
      <w:pPr>
        <w:spacing w:after="120" w:line="360" w:lineRule="auto"/>
        <w:ind w:firstLine="720"/>
        <w:jc w:val="both"/>
        <w:rPr>
          <w:rFonts w:ascii="Times New Roman" w:hAnsi="Times New Roman" w:cs="Times New Roman"/>
          <w:b/>
          <w:sz w:val="24"/>
          <w:szCs w:val="24"/>
        </w:rPr>
      </w:pPr>
      <w:r w:rsidRPr="001055B5">
        <w:rPr>
          <w:rFonts w:ascii="Times New Roman" w:hAnsi="Times New Roman" w:cs="Times New Roman"/>
          <w:b/>
          <w:sz w:val="24"/>
          <w:szCs w:val="24"/>
        </w:rPr>
        <w:t xml:space="preserve">2.2. Governance and </w:t>
      </w:r>
      <w:r w:rsidR="00321EC7" w:rsidRPr="001055B5">
        <w:rPr>
          <w:rFonts w:ascii="Times New Roman" w:hAnsi="Times New Roman" w:cs="Times New Roman"/>
          <w:b/>
          <w:sz w:val="24"/>
          <w:szCs w:val="24"/>
        </w:rPr>
        <w:t>supervision</w:t>
      </w:r>
      <w:r w:rsidR="007A50AC">
        <w:rPr>
          <w:rFonts w:ascii="Times New Roman" w:hAnsi="Times New Roman" w:cs="Times New Roman"/>
          <w:b/>
          <w:sz w:val="24"/>
          <w:szCs w:val="24"/>
        </w:rPr>
        <w:t xml:space="preserve"> of undertakings</w:t>
      </w:r>
    </w:p>
    <w:p w:rsidR="00321EC7" w:rsidRPr="001055B5" w:rsidRDefault="00321EC7" w:rsidP="00FE2932">
      <w:pPr>
        <w:spacing w:after="0" w:line="360" w:lineRule="auto"/>
        <w:jc w:val="both"/>
        <w:rPr>
          <w:rFonts w:ascii="Times New Roman" w:hAnsi="Times New Roman" w:cs="Times New Roman"/>
          <w:sz w:val="24"/>
          <w:szCs w:val="24"/>
        </w:rPr>
      </w:pPr>
      <w:r w:rsidRPr="001055B5">
        <w:rPr>
          <w:rFonts w:ascii="Times New Roman" w:hAnsi="Times New Roman" w:cs="Times New Roman"/>
          <w:sz w:val="24"/>
          <w:szCs w:val="24"/>
        </w:rPr>
        <w:t>The second pillar addresses the issues related to supervisory matters of insurance firms</w:t>
      </w:r>
      <w:r w:rsidR="00937EDE">
        <w:rPr>
          <w:rFonts w:ascii="Times New Roman" w:hAnsi="Times New Roman" w:cs="Times New Roman"/>
          <w:sz w:val="24"/>
          <w:szCs w:val="24"/>
        </w:rPr>
        <w:t>, their</w:t>
      </w:r>
      <w:r w:rsidRPr="001055B5">
        <w:rPr>
          <w:rFonts w:ascii="Times New Roman" w:hAnsi="Times New Roman" w:cs="Times New Roman"/>
          <w:sz w:val="24"/>
          <w:szCs w:val="24"/>
        </w:rPr>
        <w:t xml:space="preserve"> </w:t>
      </w:r>
      <w:r w:rsidR="000A3952" w:rsidRPr="001055B5">
        <w:rPr>
          <w:rFonts w:ascii="Times New Roman" w:hAnsi="Times New Roman" w:cs="Times New Roman"/>
          <w:sz w:val="24"/>
          <w:szCs w:val="24"/>
        </w:rPr>
        <w:t>internal</w:t>
      </w:r>
      <w:r w:rsidR="00412EBE" w:rsidRPr="001055B5">
        <w:rPr>
          <w:rFonts w:ascii="Times New Roman" w:hAnsi="Times New Roman" w:cs="Times New Roman"/>
          <w:sz w:val="24"/>
          <w:szCs w:val="24"/>
        </w:rPr>
        <w:t xml:space="preserve"> and control systems </w:t>
      </w:r>
      <w:r w:rsidR="000A3952" w:rsidRPr="001055B5">
        <w:rPr>
          <w:rFonts w:ascii="Times New Roman" w:hAnsi="Times New Roman" w:cs="Times New Roman"/>
          <w:sz w:val="24"/>
          <w:szCs w:val="24"/>
        </w:rPr>
        <w:t xml:space="preserve">as well as </w:t>
      </w:r>
      <w:r w:rsidR="00227FC9" w:rsidRPr="001055B5">
        <w:rPr>
          <w:rFonts w:ascii="Times New Roman" w:hAnsi="Times New Roman" w:cs="Times New Roman"/>
          <w:sz w:val="24"/>
          <w:szCs w:val="24"/>
        </w:rPr>
        <w:t>governance</w:t>
      </w:r>
      <w:r w:rsidR="00E47ACA" w:rsidRPr="001055B5">
        <w:rPr>
          <w:rFonts w:ascii="Times New Roman" w:hAnsi="Times New Roman" w:cs="Times New Roman"/>
          <w:sz w:val="24"/>
          <w:szCs w:val="24"/>
        </w:rPr>
        <w:t>, the so-called ‘qualitative requirements’.</w:t>
      </w:r>
      <w:r w:rsidRPr="001055B5">
        <w:rPr>
          <w:rFonts w:ascii="Times New Roman" w:hAnsi="Times New Roman" w:cs="Times New Roman"/>
          <w:sz w:val="24"/>
          <w:szCs w:val="24"/>
        </w:rPr>
        <w:t xml:space="preserve"> </w:t>
      </w:r>
      <w:r w:rsidR="005F3974" w:rsidRPr="001055B5">
        <w:rPr>
          <w:rFonts w:ascii="Times New Roman" w:hAnsi="Times New Roman" w:cs="Times New Roman"/>
          <w:sz w:val="24"/>
          <w:szCs w:val="24"/>
        </w:rPr>
        <w:t xml:space="preserve">It defines the Supervisory Review Process carried out by </w:t>
      </w:r>
      <w:r w:rsidR="00340C7C" w:rsidRPr="001055B5">
        <w:rPr>
          <w:rFonts w:ascii="Times New Roman" w:hAnsi="Times New Roman" w:cs="Times New Roman"/>
          <w:sz w:val="24"/>
          <w:szCs w:val="24"/>
        </w:rPr>
        <w:t>the member states’ supervisory authorities. The process is aimed at ensuring firms’ compliance with requirements of the Directive, identifying</w:t>
      </w:r>
      <w:r w:rsidR="00053F34" w:rsidRPr="001055B5">
        <w:rPr>
          <w:rFonts w:ascii="Times New Roman" w:hAnsi="Times New Roman" w:cs="Times New Roman"/>
          <w:sz w:val="24"/>
          <w:szCs w:val="24"/>
        </w:rPr>
        <w:t xml:space="preserve"> the</w:t>
      </w:r>
      <w:r w:rsidR="00340C7C" w:rsidRPr="001055B5">
        <w:rPr>
          <w:rFonts w:ascii="Times New Roman" w:hAnsi="Times New Roman" w:cs="Times New Roman"/>
          <w:sz w:val="24"/>
          <w:szCs w:val="24"/>
        </w:rPr>
        <w:t xml:space="preserve"> undertakings with deteriorating financial conditions and </w:t>
      </w:r>
      <w:r w:rsidR="00FE2932">
        <w:rPr>
          <w:rFonts w:ascii="Times New Roman" w:hAnsi="Times New Roman" w:cs="Times New Roman"/>
          <w:sz w:val="24"/>
          <w:szCs w:val="24"/>
        </w:rPr>
        <w:t xml:space="preserve">monitoring </w:t>
      </w:r>
      <w:r w:rsidR="00340C7C" w:rsidRPr="001055B5">
        <w:rPr>
          <w:rFonts w:ascii="Times New Roman" w:hAnsi="Times New Roman" w:cs="Times New Roman"/>
          <w:sz w:val="24"/>
          <w:szCs w:val="24"/>
        </w:rPr>
        <w:t xml:space="preserve">how such weaknesses are </w:t>
      </w:r>
      <w:r w:rsidR="00D755E7">
        <w:rPr>
          <w:rFonts w:ascii="Times New Roman" w:hAnsi="Times New Roman" w:cs="Times New Roman"/>
          <w:sz w:val="24"/>
          <w:szCs w:val="24"/>
        </w:rPr>
        <w:t>dealt with</w:t>
      </w:r>
      <w:r w:rsidR="00340C7C" w:rsidRPr="001055B5">
        <w:rPr>
          <w:rFonts w:ascii="Times New Roman" w:hAnsi="Times New Roman" w:cs="Times New Roman"/>
          <w:sz w:val="24"/>
          <w:szCs w:val="24"/>
        </w:rPr>
        <w:t>.</w:t>
      </w:r>
      <w:r w:rsidR="00340C7C" w:rsidRPr="001055B5">
        <w:rPr>
          <w:rStyle w:val="Funotenzeichen"/>
          <w:rFonts w:ascii="Times New Roman" w:hAnsi="Times New Roman" w:cs="Times New Roman"/>
          <w:sz w:val="24"/>
          <w:szCs w:val="24"/>
        </w:rPr>
        <w:footnoteReference w:id="21"/>
      </w:r>
      <w:r w:rsidR="00340C7C" w:rsidRPr="001055B5">
        <w:rPr>
          <w:rFonts w:ascii="Times New Roman" w:hAnsi="Times New Roman" w:cs="Times New Roman"/>
          <w:sz w:val="24"/>
          <w:szCs w:val="24"/>
        </w:rPr>
        <w:t xml:space="preserve">   </w:t>
      </w:r>
    </w:p>
    <w:p w:rsidR="00BA67B1" w:rsidRPr="001055B5" w:rsidRDefault="008B2553" w:rsidP="005B1DA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Additionally the Pillar II</w:t>
      </w:r>
      <w:r w:rsidR="00BA67B1" w:rsidRPr="001055B5">
        <w:rPr>
          <w:rFonts w:ascii="Times New Roman" w:hAnsi="Times New Roman" w:cs="Times New Roman"/>
          <w:sz w:val="24"/>
          <w:szCs w:val="24"/>
        </w:rPr>
        <w:t xml:space="preserve"> promotes an effective governance system and requires companies to have written policies in relation to their risk management, financial and actuarial functions, among others.</w:t>
      </w:r>
      <w:r w:rsidR="00BA67B1" w:rsidRPr="001055B5">
        <w:rPr>
          <w:rStyle w:val="Funotenzeichen"/>
          <w:rFonts w:ascii="Times New Roman" w:hAnsi="Times New Roman" w:cs="Times New Roman"/>
          <w:sz w:val="24"/>
          <w:szCs w:val="24"/>
        </w:rPr>
        <w:footnoteReference w:id="22"/>
      </w:r>
      <w:r w:rsidR="003B5268" w:rsidRPr="001055B5">
        <w:rPr>
          <w:rFonts w:ascii="Times New Roman" w:hAnsi="Times New Roman" w:cs="Times New Roman"/>
          <w:sz w:val="24"/>
          <w:szCs w:val="24"/>
        </w:rPr>
        <w:t xml:space="preserve"> As a part of the effective risk management component undertakings are required to carry out their own risk and solvency assessment (ORSA). It reflects company’s own view on its risks profile and financial situation. The assessment’s implementation is decided by every firm based on the specifics of their business. During </w:t>
      </w:r>
      <w:r w:rsidR="00747BAE">
        <w:rPr>
          <w:rFonts w:ascii="Times New Roman" w:hAnsi="Times New Roman" w:cs="Times New Roman"/>
          <w:sz w:val="24"/>
          <w:szCs w:val="24"/>
        </w:rPr>
        <w:t xml:space="preserve">the </w:t>
      </w:r>
      <w:r w:rsidR="003B5268" w:rsidRPr="001055B5">
        <w:rPr>
          <w:rFonts w:ascii="Times New Roman" w:hAnsi="Times New Roman" w:cs="Times New Roman"/>
          <w:sz w:val="24"/>
          <w:szCs w:val="24"/>
        </w:rPr>
        <w:t xml:space="preserve">ORSA companies have to evaluate their compliance with calculations of technical provisions and </w:t>
      </w:r>
      <w:r w:rsidR="00F96F79" w:rsidRPr="001055B5">
        <w:rPr>
          <w:rFonts w:ascii="Times New Roman" w:hAnsi="Times New Roman" w:cs="Times New Roman"/>
          <w:sz w:val="24"/>
          <w:szCs w:val="24"/>
        </w:rPr>
        <w:t>solvency capital requirement (</w:t>
      </w:r>
      <w:r w:rsidR="003B5268" w:rsidRPr="001055B5">
        <w:rPr>
          <w:rFonts w:ascii="Times New Roman" w:hAnsi="Times New Roman" w:cs="Times New Roman"/>
          <w:sz w:val="24"/>
          <w:szCs w:val="24"/>
        </w:rPr>
        <w:t>SCR</w:t>
      </w:r>
      <w:r w:rsidR="00F96F79" w:rsidRPr="001055B5">
        <w:rPr>
          <w:rFonts w:ascii="Times New Roman" w:hAnsi="Times New Roman" w:cs="Times New Roman"/>
          <w:sz w:val="24"/>
          <w:szCs w:val="24"/>
        </w:rPr>
        <w:t>)</w:t>
      </w:r>
      <w:r w:rsidR="003B5268" w:rsidRPr="001055B5">
        <w:rPr>
          <w:rFonts w:ascii="Times New Roman" w:hAnsi="Times New Roman" w:cs="Times New Roman"/>
          <w:sz w:val="24"/>
          <w:szCs w:val="24"/>
        </w:rPr>
        <w:t>, among others, on a continuous basis.</w:t>
      </w:r>
      <w:r w:rsidR="003B5268" w:rsidRPr="001055B5">
        <w:rPr>
          <w:rStyle w:val="Funotenzeichen"/>
          <w:rFonts w:ascii="Times New Roman" w:hAnsi="Times New Roman" w:cs="Times New Roman"/>
          <w:sz w:val="24"/>
          <w:szCs w:val="24"/>
        </w:rPr>
        <w:footnoteReference w:id="23"/>
      </w:r>
    </w:p>
    <w:p w:rsidR="004C1A6F" w:rsidRPr="001055B5" w:rsidRDefault="004C1A6F" w:rsidP="005B1DA4">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lastRenderedPageBreak/>
        <w:t xml:space="preserve">In general the </w:t>
      </w:r>
      <w:r w:rsidR="00E63203" w:rsidRPr="001055B5">
        <w:rPr>
          <w:rFonts w:ascii="Times New Roman" w:hAnsi="Times New Roman" w:cs="Times New Roman"/>
          <w:sz w:val="24"/>
          <w:szCs w:val="24"/>
        </w:rPr>
        <w:t xml:space="preserve">second </w:t>
      </w:r>
      <w:r w:rsidRPr="001055B5">
        <w:rPr>
          <w:rFonts w:ascii="Times New Roman" w:hAnsi="Times New Roman" w:cs="Times New Roman"/>
          <w:sz w:val="24"/>
          <w:szCs w:val="24"/>
        </w:rPr>
        <w:t xml:space="preserve">pillar </w:t>
      </w:r>
      <w:r w:rsidR="00E63203" w:rsidRPr="001055B5">
        <w:rPr>
          <w:rFonts w:ascii="Times New Roman" w:hAnsi="Times New Roman" w:cs="Times New Roman"/>
          <w:sz w:val="24"/>
          <w:szCs w:val="24"/>
        </w:rPr>
        <w:t>is</w:t>
      </w:r>
      <w:r w:rsidRPr="001055B5">
        <w:rPr>
          <w:rFonts w:ascii="Times New Roman" w:hAnsi="Times New Roman" w:cs="Times New Roman"/>
          <w:sz w:val="24"/>
          <w:szCs w:val="24"/>
        </w:rPr>
        <w:t xml:space="preserve"> intended to monitor the financial health of the undertakings enabling a prompt discovery of any deterioration which should be subsequently remedied by the companies themselves or b</w:t>
      </w:r>
      <w:r w:rsidR="00E63203" w:rsidRPr="001055B5">
        <w:rPr>
          <w:rFonts w:ascii="Times New Roman" w:hAnsi="Times New Roman" w:cs="Times New Roman"/>
          <w:sz w:val="24"/>
          <w:szCs w:val="24"/>
        </w:rPr>
        <w:t>y supervisor-imposed measures</w:t>
      </w:r>
      <w:r w:rsidRPr="001055B5">
        <w:rPr>
          <w:rFonts w:ascii="Times New Roman" w:hAnsi="Times New Roman" w:cs="Times New Roman"/>
          <w:sz w:val="24"/>
          <w:szCs w:val="24"/>
        </w:rPr>
        <w:t xml:space="preserve">.   </w:t>
      </w:r>
    </w:p>
    <w:p w:rsidR="00455899" w:rsidRPr="001055B5" w:rsidRDefault="00455899" w:rsidP="005B1DA4">
      <w:pPr>
        <w:spacing w:after="0" w:line="360" w:lineRule="auto"/>
        <w:ind w:firstLine="720"/>
        <w:jc w:val="both"/>
        <w:rPr>
          <w:rFonts w:ascii="Times New Roman" w:hAnsi="Times New Roman" w:cs="Times New Roman"/>
          <w:b/>
          <w:sz w:val="24"/>
          <w:szCs w:val="24"/>
        </w:rPr>
      </w:pPr>
    </w:p>
    <w:p w:rsidR="00BB24FE" w:rsidRPr="001055B5" w:rsidRDefault="00BB24FE" w:rsidP="00364140">
      <w:pPr>
        <w:spacing w:after="120" w:line="360" w:lineRule="auto"/>
        <w:ind w:firstLine="720"/>
        <w:jc w:val="both"/>
        <w:rPr>
          <w:rFonts w:ascii="Times New Roman" w:hAnsi="Times New Roman" w:cs="Times New Roman"/>
          <w:b/>
          <w:sz w:val="24"/>
          <w:szCs w:val="24"/>
        </w:rPr>
      </w:pPr>
      <w:r w:rsidRPr="001055B5">
        <w:rPr>
          <w:rFonts w:ascii="Times New Roman" w:hAnsi="Times New Roman" w:cs="Times New Roman"/>
          <w:b/>
          <w:sz w:val="24"/>
          <w:szCs w:val="24"/>
        </w:rPr>
        <w:t xml:space="preserve">2.3. </w:t>
      </w:r>
      <w:r w:rsidR="00F26D05">
        <w:rPr>
          <w:rFonts w:ascii="Times New Roman" w:hAnsi="Times New Roman" w:cs="Times New Roman"/>
          <w:b/>
          <w:sz w:val="24"/>
          <w:szCs w:val="24"/>
        </w:rPr>
        <w:t>Supervisory r</w:t>
      </w:r>
      <w:r w:rsidRPr="001055B5">
        <w:rPr>
          <w:rFonts w:ascii="Times New Roman" w:hAnsi="Times New Roman" w:cs="Times New Roman"/>
          <w:b/>
          <w:sz w:val="24"/>
          <w:szCs w:val="24"/>
        </w:rPr>
        <w:t>eporting and public disclosure</w:t>
      </w:r>
    </w:p>
    <w:p w:rsidR="00BB24FE" w:rsidRDefault="005F5638" w:rsidP="00B42489">
      <w:pPr>
        <w:spacing w:after="0" w:line="360" w:lineRule="auto"/>
        <w:jc w:val="both"/>
        <w:rPr>
          <w:rFonts w:ascii="Times New Roman" w:hAnsi="Times New Roman" w:cs="Times New Roman"/>
          <w:sz w:val="24"/>
          <w:szCs w:val="24"/>
        </w:rPr>
      </w:pPr>
      <w:r w:rsidRPr="001055B5">
        <w:rPr>
          <w:rFonts w:ascii="Times New Roman" w:hAnsi="Times New Roman" w:cs="Times New Roman"/>
          <w:sz w:val="24"/>
          <w:szCs w:val="24"/>
        </w:rPr>
        <w:t>The Pillar 3 ensures the transparency of undertakings’ insurance activities. To achieve this goal the firms are required, apart from submitting to the supervisory authorities the information necessary for the purposes of supervision, to publicly disclose report on their financial condition and solvency. The report has to be disclosed at least annually in either printed or electronic form.</w:t>
      </w:r>
      <w:r w:rsidR="00F10289" w:rsidRPr="001055B5">
        <w:rPr>
          <w:rStyle w:val="Funotenzeichen"/>
          <w:rFonts w:ascii="Times New Roman" w:hAnsi="Times New Roman" w:cs="Times New Roman"/>
          <w:sz w:val="24"/>
          <w:szCs w:val="24"/>
        </w:rPr>
        <w:footnoteReference w:id="24"/>
      </w:r>
      <w:r w:rsidRPr="001055B5">
        <w:rPr>
          <w:rFonts w:ascii="Times New Roman" w:hAnsi="Times New Roman" w:cs="Times New Roman"/>
          <w:sz w:val="24"/>
          <w:szCs w:val="24"/>
        </w:rPr>
        <w:t xml:space="preserve"> </w:t>
      </w:r>
      <w:r w:rsidR="00CB30B6" w:rsidRPr="001055B5">
        <w:rPr>
          <w:rFonts w:ascii="Times New Roman" w:hAnsi="Times New Roman" w:cs="Times New Roman"/>
          <w:sz w:val="24"/>
          <w:szCs w:val="24"/>
        </w:rPr>
        <w:t>In case the disclosure will result in the company’s competitors gaining significant undue advantage or the firm is bound to secrecy and confidentiality by its agreements with policyholders or other counterparties, the undertaking may be exempted from the obligation to disclose such information.</w:t>
      </w:r>
      <w:r w:rsidR="00CB30B6" w:rsidRPr="001055B5">
        <w:rPr>
          <w:rStyle w:val="Funotenzeichen"/>
          <w:rFonts w:ascii="Times New Roman" w:hAnsi="Times New Roman" w:cs="Times New Roman"/>
          <w:sz w:val="24"/>
          <w:szCs w:val="24"/>
        </w:rPr>
        <w:footnoteReference w:id="25"/>
      </w:r>
      <w:r w:rsidR="00CB30B6" w:rsidRPr="001055B5">
        <w:rPr>
          <w:rFonts w:ascii="Times New Roman" w:hAnsi="Times New Roman" w:cs="Times New Roman"/>
          <w:sz w:val="24"/>
          <w:szCs w:val="24"/>
        </w:rPr>
        <w:t xml:space="preserve"> </w:t>
      </w:r>
    </w:p>
    <w:p w:rsidR="00455899" w:rsidRPr="001055B5" w:rsidRDefault="00455899" w:rsidP="005B1DA4">
      <w:pPr>
        <w:spacing w:after="0" w:line="360" w:lineRule="auto"/>
        <w:ind w:firstLine="720"/>
        <w:jc w:val="both"/>
        <w:rPr>
          <w:rFonts w:ascii="Times New Roman" w:hAnsi="Times New Roman" w:cs="Times New Roman"/>
          <w:sz w:val="24"/>
          <w:szCs w:val="24"/>
        </w:rPr>
      </w:pPr>
    </w:p>
    <w:p w:rsidR="00F7374D" w:rsidRPr="001055B5" w:rsidRDefault="00F7374D" w:rsidP="009A0641">
      <w:pPr>
        <w:spacing w:after="120"/>
        <w:ind w:firstLine="720"/>
        <w:rPr>
          <w:rFonts w:ascii="Times New Roman" w:hAnsi="Times New Roman" w:cs="Times New Roman"/>
          <w:b/>
          <w:sz w:val="24"/>
          <w:szCs w:val="24"/>
        </w:rPr>
      </w:pPr>
      <w:r w:rsidRPr="001055B5">
        <w:rPr>
          <w:rFonts w:ascii="Times New Roman" w:hAnsi="Times New Roman" w:cs="Times New Roman"/>
          <w:b/>
          <w:sz w:val="24"/>
          <w:szCs w:val="24"/>
        </w:rPr>
        <w:t xml:space="preserve">2.4. </w:t>
      </w:r>
      <w:r w:rsidR="00853976">
        <w:rPr>
          <w:rFonts w:ascii="Times New Roman" w:hAnsi="Times New Roman" w:cs="Times New Roman"/>
          <w:b/>
          <w:sz w:val="24"/>
          <w:szCs w:val="24"/>
        </w:rPr>
        <w:t>Summary</w:t>
      </w:r>
      <w:r w:rsidRPr="001055B5">
        <w:rPr>
          <w:rFonts w:ascii="Times New Roman" w:hAnsi="Times New Roman" w:cs="Times New Roman"/>
          <w:b/>
          <w:sz w:val="24"/>
          <w:szCs w:val="24"/>
        </w:rPr>
        <w:t xml:space="preserve"> </w:t>
      </w:r>
    </w:p>
    <w:p w:rsidR="00F7374D" w:rsidRPr="001055B5" w:rsidRDefault="00F7374D" w:rsidP="00BD3A1A">
      <w:pPr>
        <w:spacing w:after="0" w:line="360" w:lineRule="auto"/>
        <w:jc w:val="both"/>
        <w:rPr>
          <w:rFonts w:ascii="Times New Roman" w:hAnsi="Times New Roman" w:cs="Times New Roman"/>
          <w:sz w:val="24"/>
          <w:szCs w:val="24"/>
        </w:rPr>
      </w:pPr>
      <w:r w:rsidRPr="001055B5">
        <w:rPr>
          <w:rFonts w:ascii="Times New Roman" w:hAnsi="Times New Roman" w:cs="Times New Roman"/>
          <w:sz w:val="24"/>
          <w:szCs w:val="24"/>
        </w:rPr>
        <w:t>The list of features of Solvency II presented above</w:t>
      </w:r>
      <w:r w:rsidR="006469B3">
        <w:rPr>
          <w:rFonts w:ascii="Times New Roman" w:hAnsi="Times New Roman" w:cs="Times New Roman"/>
          <w:sz w:val="24"/>
          <w:szCs w:val="24"/>
        </w:rPr>
        <w:t xml:space="preserve"> is by no means exhaustive and</w:t>
      </w:r>
      <w:r w:rsidRPr="001055B5">
        <w:rPr>
          <w:rFonts w:ascii="Times New Roman" w:hAnsi="Times New Roman" w:cs="Times New Roman"/>
          <w:sz w:val="24"/>
          <w:szCs w:val="24"/>
        </w:rPr>
        <w:t xml:space="preserve"> only indicates the most important innovations, relevant for the discussion in this paper. However, it is already evident that Solvency II represents an all-encompassing fundamental reform of the EU insurance regulation. As any project of such a scale it has received a fair amount of criticism from the opponents. The </w:t>
      </w:r>
      <w:r w:rsidR="00362309" w:rsidRPr="001055B5">
        <w:rPr>
          <w:rFonts w:ascii="Times New Roman" w:hAnsi="Times New Roman" w:cs="Times New Roman"/>
          <w:sz w:val="24"/>
          <w:szCs w:val="24"/>
        </w:rPr>
        <w:t>main issues raised</w:t>
      </w:r>
      <w:r w:rsidRPr="001055B5">
        <w:rPr>
          <w:rFonts w:ascii="Times New Roman" w:hAnsi="Times New Roman" w:cs="Times New Roman"/>
          <w:sz w:val="24"/>
          <w:szCs w:val="24"/>
        </w:rPr>
        <w:t xml:space="preserve"> were the </w:t>
      </w:r>
      <w:r w:rsidR="00362309" w:rsidRPr="001055B5">
        <w:rPr>
          <w:rFonts w:ascii="Times New Roman" w:hAnsi="Times New Roman" w:cs="Times New Roman"/>
          <w:sz w:val="24"/>
          <w:szCs w:val="24"/>
        </w:rPr>
        <w:t xml:space="preserve">extra complexity of the rules, especially those </w:t>
      </w:r>
      <w:r w:rsidR="00653F48">
        <w:rPr>
          <w:rFonts w:ascii="Times New Roman" w:hAnsi="Times New Roman" w:cs="Times New Roman"/>
          <w:sz w:val="24"/>
          <w:szCs w:val="24"/>
        </w:rPr>
        <w:t>related to</w:t>
      </w:r>
      <w:r w:rsidR="00362309" w:rsidRPr="001055B5">
        <w:rPr>
          <w:rFonts w:ascii="Times New Roman" w:hAnsi="Times New Roman" w:cs="Times New Roman"/>
          <w:sz w:val="24"/>
          <w:szCs w:val="24"/>
        </w:rPr>
        <w:t xml:space="preserve"> the</w:t>
      </w:r>
      <w:r w:rsidR="00653F48">
        <w:rPr>
          <w:rFonts w:ascii="Times New Roman" w:hAnsi="Times New Roman" w:cs="Times New Roman"/>
          <w:sz w:val="24"/>
          <w:szCs w:val="24"/>
        </w:rPr>
        <w:t xml:space="preserve"> </w:t>
      </w:r>
      <w:r w:rsidR="00653F48" w:rsidRPr="001055B5">
        <w:rPr>
          <w:rFonts w:ascii="Times New Roman" w:hAnsi="Times New Roman" w:cs="Times New Roman"/>
          <w:sz w:val="24"/>
          <w:szCs w:val="24"/>
        </w:rPr>
        <w:t>calculation</w:t>
      </w:r>
      <w:r w:rsidR="00653F48">
        <w:rPr>
          <w:rFonts w:ascii="Times New Roman" w:hAnsi="Times New Roman" w:cs="Times New Roman"/>
          <w:sz w:val="24"/>
          <w:szCs w:val="24"/>
        </w:rPr>
        <w:t xml:space="preserve"> of</w:t>
      </w:r>
      <w:r w:rsidR="00362309" w:rsidRPr="001055B5">
        <w:rPr>
          <w:rFonts w:ascii="Times New Roman" w:hAnsi="Times New Roman" w:cs="Times New Roman"/>
          <w:sz w:val="24"/>
          <w:szCs w:val="24"/>
        </w:rPr>
        <w:t xml:space="preserve"> solvency</w:t>
      </w:r>
      <w:r w:rsidR="00653F48">
        <w:rPr>
          <w:rFonts w:ascii="Times New Roman" w:hAnsi="Times New Roman" w:cs="Times New Roman"/>
          <w:sz w:val="24"/>
          <w:szCs w:val="24"/>
        </w:rPr>
        <w:t xml:space="preserve"> capital</w:t>
      </w:r>
      <w:r w:rsidR="00362309" w:rsidRPr="001055B5">
        <w:rPr>
          <w:rFonts w:ascii="Times New Roman" w:hAnsi="Times New Roman" w:cs="Times New Roman"/>
          <w:sz w:val="24"/>
          <w:szCs w:val="24"/>
        </w:rPr>
        <w:t xml:space="preserve"> requirements, inherent uncertainty of the norms and high costs of the new risk assessment models.</w:t>
      </w:r>
      <w:r w:rsidR="00362309" w:rsidRPr="001055B5">
        <w:rPr>
          <w:rStyle w:val="Funotenzeichen"/>
          <w:rFonts w:ascii="Times New Roman" w:hAnsi="Times New Roman" w:cs="Times New Roman"/>
          <w:sz w:val="24"/>
          <w:szCs w:val="24"/>
        </w:rPr>
        <w:footnoteReference w:id="26"/>
      </w:r>
      <w:r w:rsidR="00BD3A1A" w:rsidRPr="001055B5">
        <w:rPr>
          <w:rFonts w:ascii="Times New Roman" w:hAnsi="Times New Roman" w:cs="Times New Roman"/>
          <w:sz w:val="24"/>
          <w:szCs w:val="24"/>
        </w:rPr>
        <w:t xml:space="preserve"> </w:t>
      </w:r>
    </w:p>
    <w:p w:rsidR="00BD3A1A" w:rsidRPr="001055B5" w:rsidRDefault="00BD3A1A" w:rsidP="00BD3A1A">
      <w:pPr>
        <w:spacing w:after="0" w:line="360" w:lineRule="auto"/>
        <w:jc w:val="both"/>
        <w:rPr>
          <w:rFonts w:ascii="Times New Roman" w:hAnsi="Times New Roman" w:cs="Times New Roman"/>
          <w:sz w:val="24"/>
          <w:szCs w:val="24"/>
        </w:rPr>
      </w:pPr>
      <w:r w:rsidRPr="001055B5">
        <w:rPr>
          <w:rFonts w:ascii="Times New Roman" w:hAnsi="Times New Roman" w:cs="Times New Roman"/>
          <w:sz w:val="24"/>
          <w:szCs w:val="24"/>
        </w:rPr>
        <w:tab/>
        <w:t xml:space="preserve">However, the arguments of some of the opponents are based only on the analysis of the first pillar and do not take into account the fact that all </w:t>
      </w:r>
      <w:r w:rsidR="00B56CC8">
        <w:rPr>
          <w:rFonts w:ascii="Times New Roman" w:hAnsi="Times New Roman" w:cs="Times New Roman"/>
          <w:sz w:val="24"/>
          <w:szCs w:val="24"/>
        </w:rPr>
        <w:t xml:space="preserve">the </w:t>
      </w:r>
      <w:r w:rsidRPr="001055B5">
        <w:rPr>
          <w:rFonts w:ascii="Times New Roman" w:hAnsi="Times New Roman" w:cs="Times New Roman"/>
          <w:sz w:val="24"/>
          <w:szCs w:val="24"/>
        </w:rPr>
        <w:t xml:space="preserve">three pillars are blended into direct framework creating a holistic approach to the insurance regulation. Therefore the </w:t>
      </w:r>
      <w:r w:rsidR="009D5C88" w:rsidRPr="001055B5">
        <w:rPr>
          <w:rFonts w:ascii="Times New Roman" w:hAnsi="Times New Roman" w:cs="Times New Roman"/>
          <w:sz w:val="24"/>
          <w:szCs w:val="24"/>
        </w:rPr>
        <w:t>limits</w:t>
      </w:r>
      <w:r w:rsidRPr="001055B5">
        <w:rPr>
          <w:rFonts w:ascii="Times New Roman" w:hAnsi="Times New Roman" w:cs="Times New Roman"/>
          <w:sz w:val="24"/>
          <w:szCs w:val="24"/>
        </w:rPr>
        <w:t xml:space="preserve"> of one pillar are </w:t>
      </w:r>
      <w:r w:rsidR="009D5C88" w:rsidRPr="001055B5">
        <w:rPr>
          <w:rFonts w:ascii="Times New Roman" w:hAnsi="Times New Roman" w:cs="Times New Roman"/>
          <w:sz w:val="24"/>
          <w:szCs w:val="24"/>
        </w:rPr>
        <w:t>covered</w:t>
      </w:r>
      <w:r w:rsidRPr="001055B5">
        <w:rPr>
          <w:rFonts w:ascii="Times New Roman" w:hAnsi="Times New Roman" w:cs="Times New Roman"/>
          <w:sz w:val="24"/>
          <w:szCs w:val="24"/>
        </w:rPr>
        <w:t xml:space="preserve"> by the advantages of another. </w:t>
      </w:r>
      <w:r w:rsidR="005027E2" w:rsidRPr="001055B5">
        <w:rPr>
          <w:rFonts w:ascii="Times New Roman" w:hAnsi="Times New Roman" w:cs="Times New Roman"/>
          <w:sz w:val="24"/>
          <w:szCs w:val="24"/>
        </w:rPr>
        <w:t xml:space="preserve">While it is true that certain provisions of </w:t>
      </w:r>
      <w:r w:rsidR="005027E2" w:rsidRPr="001055B5">
        <w:rPr>
          <w:rFonts w:ascii="Times New Roman" w:hAnsi="Times New Roman" w:cs="Times New Roman"/>
          <w:sz w:val="24"/>
          <w:szCs w:val="24"/>
        </w:rPr>
        <w:lastRenderedPageBreak/>
        <w:t>Solvency II are extremely complex, the further guidance and consultations aim to solve those issues. For instance, according to the feedback received during The Fifth Quantitative Impact Study (QIS 5), the determination of SCR for counterparty default risk was perceived by a majority of companies as ‘extremely laborious and complex’.</w:t>
      </w:r>
      <w:bookmarkStart w:id="9" w:name="_Ref403057829"/>
      <w:r w:rsidR="005027E2" w:rsidRPr="001055B5">
        <w:rPr>
          <w:rStyle w:val="Funotenzeichen"/>
          <w:rFonts w:ascii="Times New Roman" w:hAnsi="Times New Roman" w:cs="Times New Roman"/>
          <w:sz w:val="24"/>
          <w:szCs w:val="24"/>
        </w:rPr>
        <w:footnoteReference w:id="27"/>
      </w:r>
      <w:bookmarkEnd w:id="9"/>
      <w:r w:rsidR="005027E2" w:rsidRPr="001055B5">
        <w:rPr>
          <w:rFonts w:ascii="Times New Roman" w:hAnsi="Times New Roman" w:cs="Times New Roman"/>
          <w:sz w:val="24"/>
          <w:szCs w:val="24"/>
        </w:rPr>
        <w:t xml:space="preserve"> However, as a result of the consultations the complexity of the calculation has been reduced</w:t>
      </w:r>
      <w:r w:rsidR="0086476F">
        <w:rPr>
          <w:rFonts w:ascii="Times New Roman" w:hAnsi="Times New Roman" w:cs="Times New Roman"/>
          <w:sz w:val="24"/>
          <w:szCs w:val="24"/>
        </w:rPr>
        <w:t>,</w:t>
      </w:r>
      <w:r w:rsidR="005027E2" w:rsidRPr="001055B5">
        <w:rPr>
          <w:rFonts w:ascii="Times New Roman" w:hAnsi="Times New Roman" w:cs="Times New Roman"/>
          <w:sz w:val="24"/>
          <w:szCs w:val="24"/>
        </w:rPr>
        <w:t xml:space="preserve"> although not completely. The same can be said about the uncertainty of the rules which is gradually eliminated by further guidelines and delegated acts. </w:t>
      </w:r>
    </w:p>
    <w:p w:rsidR="00112532" w:rsidRDefault="005027E2" w:rsidP="00487B2A">
      <w:pPr>
        <w:spacing w:after="0" w:line="360" w:lineRule="auto"/>
        <w:ind w:firstLine="709"/>
        <w:jc w:val="both"/>
        <w:rPr>
          <w:rFonts w:ascii="Times New Roman" w:hAnsi="Times New Roman" w:cs="Times New Roman"/>
          <w:sz w:val="24"/>
          <w:szCs w:val="24"/>
        </w:rPr>
      </w:pPr>
      <w:r w:rsidRPr="001055B5">
        <w:rPr>
          <w:rFonts w:ascii="Times New Roman" w:hAnsi="Times New Roman" w:cs="Times New Roman"/>
          <w:sz w:val="24"/>
          <w:szCs w:val="24"/>
        </w:rPr>
        <w:t>Despite of the criticism</w:t>
      </w:r>
      <w:r w:rsidR="0086476F">
        <w:rPr>
          <w:rFonts w:ascii="Times New Roman" w:hAnsi="Times New Roman" w:cs="Times New Roman"/>
          <w:sz w:val="24"/>
          <w:szCs w:val="24"/>
        </w:rPr>
        <w:t>,</w:t>
      </w:r>
      <w:r w:rsidRPr="001055B5">
        <w:rPr>
          <w:rFonts w:ascii="Times New Roman" w:hAnsi="Times New Roman" w:cs="Times New Roman"/>
          <w:sz w:val="24"/>
          <w:szCs w:val="24"/>
        </w:rPr>
        <w:t xml:space="preserve"> compared to the existing rules, the new regime will offer a higher level of regulatory harmonisation and increase protection of policyholders, forcing insurers to better understand the risks they are underwriting and allocate sufficient resources to cover them. Moreover greater risk awareness and management is expected to increase Europe’s competitiveness on the international insurance market. </w:t>
      </w:r>
    </w:p>
    <w:p w:rsidR="007964D9" w:rsidRPr="001055B5" w:rsidRDefault="007964D9" w:rsidP="00487B2A">
      <w:pPr>
        <w:spacing w:after="0" w:line="360" w:lineRule="auto"/>
        <w:ind w:firstLine="709"/>
        <w:jc w:val="both"/>
        <w:rPr>
          <w:rFonts w:ascii="Times New Roman" w:hAnsi="Times New Roman" w:cs="Times New Roman"/>
          <w:sz w:val="24"/>
          <w:szCs w:val="24"/>
        </w:rPr>
      </w:pPr>
    </w:p>
    <w:p w:rsidR="00F77C15" w:rsidRPr="001055B5" w:rsidRDefault="00412EBE" w:rsidP="005B1DA4">
      <w:pPr>
        <w:pStyle w:val="Listenabsatz"/>
        <w:numPr>
          <w:ilvl w:val="0"/>
          <w:numId w:val="9"/>
        </w:numPr>
        <w:spacing w:after="0" w:line="360" w:lineRule="auto"/>
        <w:jc w:val="both"/>
        <w:rPr>
          <w:rFonts w:ascii="Times New Roman" w:hAnsi="Times New Roman" w:cs="Times New Roman"/>
          <w:b/>
          <w:sz w:val="24"/>
          <w:szCs w:val="24"/>
        </w:rPr>
      </w:pPr>
      <w:r w:rsidRPr="001055B5">
        <w:rPr>
          <w:rFonts w:ascii="Times New Roman" w:hAnsi="Times New Roman" w:cs="Times New Roman"/>
          <w:b/>
          <w:sz w:val="24"/>
          <w:szCs w:val="24"/>
        </w:rPr>
        <w:t xml:space="preserve"> </w:t>
      </w:r>
      <w:r w:rsidR="00112532" w:rsidRPr="001055B5">
        <w:rPr>
          <w:rFonts w:ascii="Times New Roman" w:hAnsi="Times New Roman" w:cs="Times New Roman"/>
          <w:b/>
          <w:sz w:val="24"/>
          <w:szCs w:val="24"/>
        </w:rPr>
        <w:t>Implications</w:t>
      </w:r>
      <w:r w:rsidR="00F77C15" w:rsidRPr="001055B5">
        <w:rPr>
          <w:rFonts w:ascii="Times New Roman" w:hAnsi="Times New Roman" w:cs="Times New Roman"/>
          <w:b/>
          <w:sz w:val="24"/>
          <w:szCs w:val="24"/>
        </w:rPr>
        <w:t xml:space="preserve"> of Solvency II </w:t>
      </w:r>
      <w:r w:rsidR="00112532" w:rsidRPr="001055B5">
        <w:rPr>
          <w:rFonts w:ascii="Times New Roman" w:hAnsi="Times New Roman" w:cs="Times New Roman"/>
          <w:b/>
          <w:sz w:val="24"/>
          <w:szCs w:val="24"/>
        </w:rPr>
        <w:t xml:space="preserve">for discontinued </w:t>
      </w:r>
      <w:r w:rsidR="003E2250" w:rsidRPr="001055B5">
        <w:rPr>
          <w:rFonts w:ascii="Times New Roman" w:hAnsi="Times New Roman" w:cs="Times New Roman"/>
          <w:b/>
          <w:sz w:val="24"/>
          <w:szCs w:val="24"/>
        </w:rPr>
        <w:t xml:space="preserve">non-life </w:t>
      </w:r>
      <w:r w:rsidR="00AA45D5">
        <w:rPr>
          <w:rFonts w:ascii="Times New Roman" w:hAnsi="Times New Roman" w:cs="Times New Roman"/>
          <w:b/>
          <w:sz w:val="24"/>
          <w:szCs w:val="24"/>
        </w:rPr>
        <w:t>(re)</w:t>
      </w:r>
      <w:r w:rsidR="00112532" w:rsidRPr="001055B5">
        <w:rPr>
          <w:rFonts w:ascii="Times New Roman" w:hAnsi="Times New Roman" w:cs="Times New Roman"/>
          <w:b/>
          <w:sz w:val="24"/>
          <w:szCs w:val="24"/>
        </w:rPr>
        <w:t>insurance business</w:t>
      </w:r>
      <w:r w:rsidR="00F77C15" w:rsidRPr="001055B5">
        <w:rPr>
          <w:rFonts w:ascii="Times New Roman" w:hAnsi="Times New Roman" w:cs="Times New Roman"/>
          <w:b/>
          <w:sz w:val="24"/>
          <w:szCs w:val="24"/>
        </w:rPr>
        <w:t xml:space="preserve"> </w:t>
      </w:r>
    </w:p>
    <w:p w:rsidR="00112532" w:rsidRPr="001055B5" w:rsidRDefault="00112532" w:rsidP="005B1DA4">
      <w:pPr>
        <w:pStyle w:val="Listenabsatz"/>
        <w:spacing w:after="0" w:line="360" w:lineRule="auto"/>
        <w:ind w:left="1080"/>
        <w:jc w:val="both"/>
        <w:rPr>
          <w:rFonts w:ascii="Times New Roman" w:hAnsi="Times New Roman" w:cs="Times New Roman"/>
          <w:b/>
          <w:sz w:val="24"/>
          <w:szCs w:val="24"/>
        </w:rPr>
      </w:pPr>
    </w:p>
    <w:p w:rsidR="00B46DA6" w:rsidRPr="001055B5" w:rsidRDefault="00112532" w:rsidP="00B56CC8">
      <w:pPr>
        <w:spacing w:after="120" w:line="360" w:lineRule="auto"/>
        <w:ind w:firstLine="720"/>
        <w:jc w:val="both"/>
        <w:rPr>
          <w:rFonts w:ascii="Times New Roman" w:hAnsi="Times New Roman" w:cs="Times New Roman"/>
          <w:b/>
          <w:sz w:val="24"/>
          <w:szCs w:val="24"/>
        </w:rPr>
      </w:pPr>
      <w:r w:rsidRPr="001055B5">
        <w:rPr>
          <w:rFonts w:ascii="Times New Roman" w:hAnsi="Times New Roman" w:cs="Times New Roman"/>
          <w:b/>
          <w:sz w:val="24"/>
          <w:szCs w:val="24"/>
        </w:rPr>
        <w:t xml:space="preserve">3.1 Definition of discontinued business </w:t>
      </w:r>
    </w:p>
    <w:p w:rsidR="0008764D" w:rsidRPr="001055B5" w:rsidRDefault="00AC41CB" w:rsidP="00B42489">
      <w:pPr>
        <w:spacing w:after="0" w:line="360" w:lineRule="auto"/>
        <w:jc w:val="both"/>
        <w:rPr>
          <w:rFonts w:ascii="Times New Roman" w:hAnsi="Times New Roman" w:cs="Times New Roman"/>
          <w:sz w:val="24"/>
          <w:szCs w:val="24"/>
        </w:rPr>
      </w:pPr>
      <w:r w:rsidRPr="001055B5">
        <w:rPr>
          <w:rFonts w:ascii="Times New Roman" w:hAnsi="Times New Roman" w:cs="Times New Roman"/>
          <w:sz w:val="24"/>
          <w:szCs w:val="24"/>
        </w:rPr>
        <w:t>I</w:t>
      </w:r>
      <w:r w:rsidR="00AA21EF" w:rsidRPr="001055B5">
        <w:rPr>
          <w:rFonts w:ascii="Times New Roman" w:hAnsi="Times New Roman" w:cs="Times New Roman"/>
          <w:sz w:val="24"/>
          <w:szCs w:val="24"/>
        </w:rPr>
        <w:t>nsurance compan</w:t>
      </w:r>
      <w:r w:rsidRPr="001055B5">
        <w:rPr>
          <w:rFonts w:ascii="Times New Roman" w:hAnsi="Times New Roman" w:cs="Times New Roman"/>
          <w:sz w:val="24"/>
          <w:szCs w:val="24"/>
        </w:rPr>
        <w:t>ies face</w:t>
      </w:r>
      <w:r w:rsidR="00DB06C4">
        <w:rPr>
          <w:rFonts w:ascii="Times New Roman" w:hAnsi="Times New Roman" w:cs="Times New Roman"/>
          <w:sz w:val="24"/>
          <w:szCs w:val="24"/>
        </w:rPr>
        <w:t xml:space="preserve"> </w:t>
      </w:r>
      <w:r w:rsidR="00AA21EF" w:rsidRPr="001055B5">
        <w:rPr>
          <w:rFonts w:ascii="Times New Roman" w:hAnsi="Times New Roman" w:cs="Times New Roman"/>
          <w:sz w:val="24"/>
          <w:szCs w:val="24"/>
        </w:rPr>
        <w:t>situation</w:t>
      </w:r>
      <w:r w:rsidR="00DB06C4">
        <w:rPr>
          <w:rFonts w:ascii="Times New Roman" w:hAnsi="Times New Roman" w:cs="Times New Roman"/>
          <w:sz w:val="24"/>
          <w:szCs w:val="24"/>
        </w:rPr>
        <w:t>s</w:t>
      </w:r>
      <w:r w:rsidR="00AA21EF" w:rsidRPr="001055B5">
        <w:rPr>
          <w:rFonts w:ascii="Times New Roman" w:hAnsi="Times New Roman" w:cs="Times New Roman"/>
          <w:sz w:val="24"/>
          <w:szCs w:val="24"/>
        </w:rPr>
        <w:t xml:space="preserve"> where </w:t>
      </w:r>
      <w:r w:rsidRPr="001055B5">
        <w:rPr>
          <w:rFonts w:ascii="Times New Roman" w:hAnsi="Times New Roman" w:cs="Times New Roman"/>
          <w:sz w:val="24"/>
          <w:szCs w:val="24"/>
        </w:rPr>
        <w:t>they</w:t>
      </w:r>
      <w:r w:rsidR="00AA21EF" w:rsidRPr="001055B5">
        <w:rPr>
          <w:rFonts w:ascii="Times New Roman" w:hAnsi="Times New Roman" w:cs="Times New Roman"/>
          <w:sz w:val="24"/>
          <w:szCs w:val="24"/>
        </w:rPr>
        <w:t xml:space="preserve"> ha</w:t>
      </w:r>
      <w:r w:rsidRPr="001055B5">
        <w:rPr>
          <w:rFonts w:ascii="Times New Roman" w:hAnsi="Times New Roman" w:cs="Times New Roman"/>
          <w:sz w:val="24"/>
          <w:szCs w:val="24"/>
        </w:rPr>
        <w:t>ve</w:t>
      </w:r>
      <w:r w:rsidR="00AA21EF" w:rsidRPr="001055B5">
        <w:rPr>
          <w:rFonts w:ascii="Times New Roman" w:hAnsi="Times New Roman" w:cs="Times New Roman"/>
          <w:sz w:val="24"/>
          <w:szCs w:val="24"/>
        </w:rPr>
        <w:t xml:space="preserve"> to stop underwriting </w:t>
      </w:r>
      <w:r w:rsidRPr="001055B5">
        <w:rPr>
          <w:rFonts w:ascii="Times New Roman" w:hAnsi="Times New Roman" w:cs="Times New Roman"/>
          <w:sz w:val="24"/>
          <w:szCs w:val="24"/>
        </w:rPr>
        <w:t xml:space="preserve">all or </w:t>
      </w:r>
      <w:r w:rsidR="00AA21EF" w:rsidRPr="001055B5">
        <w:rPr>
          <w:rFonts w:ascii="Times New Roman" w:hAnsi="Times New Roman" w:cs="Times New Roman"/>
          <w:sz w:val="24"/>
          <w:szCs w:val="24"/>
        </w:rPr>
        <w:t xml:space="preserve">certain lines of </w:t>
      </w:r>
      <w:r w:rsidRPr="001055B5">
        <w:rPr>
          <w:rFonts w:ascii="Times New Roman" w:hAnsi="Times New Roman" w:cs="Times New Roman"/>
          <w:sz w:val="24"/>
          <w:szCs w:val="24"/>
        </w:rPr>
        <w:t>their</w:t>
      </w:r>
      <w:r w:rsidR="00AA21EF" w:rsidRPr="001055B5">
        <w:rPr>
          <w:rFonts w:ascii="Times New Roman" w:hAnsi="Times New Roman" w:cs="Times New Roman"/>
          <w:sz w:val="24"/>
          <w:szCs w:val="24"/>
        </w:rPr>
        <w:t xml:space="preserve"> business. </w:t>
      </w:r>
      <w:r w:rsidR="00F63904" w:rsidRPr="001055B5">
        <w:rPr>
          <w:rFonts w:ascii="Times New Roman" w:hAnsi="Times New Roman" w:cs="Times New Roman"/>
          <w:sz w:val="24"/>
          <w:szCs w:val="24"/>
        </w:rPr>
        <w:t xml:space="preserve">The reasons for that vary, the most popular being the shift </w:t>
      </w:r>
      <w:r w:rsidR="003A57B6" w:rsidRPr="001055B5">
        <w:rPr>
          <w:rFonts w:ascii="Times New Roman" w:hAnsi="Times New Roman" w:cs="Times New Roman"/>
          <w:sz w:val="24"/>
          <w:szCs w:val="24"/>
        </w:rPr>
        <w:t>t</w:t>
      </w:r>
      <w:r w:rsidR="00F63904" w:rsidRPr="001055B5">
        <w:rPr>
          <w:rFonts w:ascii="Times New Roman" w:hAnsi="Times New Roman" w:cs="Times New Roman"/>
          <w:sz w:val="24"/>
          <w:szCs w:val="24"/>
        </w:rPr>
        <w:t>o</w:t>
      </w:r>
      <w:r w:rsidR="003A57B6" w:rsidRPr="001055B5">
        <w:rPr>
          <w:rFonts w:ascii="Times New Roman" w:hAnsi="Times New Roman" w:cs="Times New Roman"/>
          <w:sz w:val="24"/>
          <w:szCs w:val="24"/>
        </w:rPr>
        <w:t xml:space="preserve"> other business segments, </w:t>
      </w:r>
      <w:r w:rsidR="00F63904" w:rsidRPr="001055B5">
        <w:rPr>
          <w:rFonts w:ascii="Times New Roman" w:hAnsi="Times New Roman" w:cs="Times New Roman"/>
          <w:sz w:val="24"/>
          <w:szCs w:val="24"/>
        </w:rPr>
        <w:t xml:space="preserve">exit from </w:t>
      </w:r>
      <w:r w:rsidRPr="001055B5">
        <w:rPr>
          <w:rFonts w:ascii="Times New Roman" w:hAnsi="Times New Roman" w:cs="Times New Roman"/>
          <w:sz w:val="24"/>
          <w:szCs w:val="24"/>
        </w:rPr>
        <w:t>the</w:t>
      </w:r>
      <w:r w:rsidR="00F63904" w:rsidRPr="001055B5">
        <w:rPr>
          <w:rFonts w:ascii="Times New Roman" w:hAnsi="Times New Roman" w:cs="Times New Roman"/>
          <w:sz w:val="24"/>
          <w:szCs w:val="24"/>
        </w:rPr>
        <w:t xml:space="preserve"> lines with low profitability</w:t>
      </w:r>
      <w:r w:rsidR="004163AF" w:rsidRPr="001055B5">
        <w:rPr>
          <w:rFonts w:ascii="Times New Roman" w:hAnsi="Times New Roman" w:cs="Times New Roman"/>
          <w:sz w:val="24"/>
          <w:szCs w:val="24"/>
        </w:rPr>
        <w:t xml:space="preserve"> or </w:t>
      </w:r>
      <w:r w:rsidR="003A57B6" w:rsidRPr="001055B5">
        <w:rPr>
          <w:rFonts w:ascii="Times New Roman" w:hAnsi="Times New Roman" w:cs="Times New Roman"/>
          <w:sz w:val="24"/>
          <w:szCs w:val="24"/>
        </w:rPr>
        <w:t xml:space="preserve">complete exit from </w:t>
      </w:r>
      <w:r w:rsidR="004163AF" w:rsidRPr="001055B5">
        <w:rPr>
          <w:rFonts w:ascii="Times New Roman" w:hAnsi="Times New Roman" w:cs="Times New Roman"/>
          <w:sz w:val="24"/>
          <w:szCs w:val="24"/>
        </w:rPr>
        <w:t>the insurance market</w:t>
      </w:r>
      <w:r w:rsidR="00F63904" w:rsidRPr="001055B5">
        <w:rPr>
          <w:rFonts w:ascii="Times New Roman" w:hAnsi="Times New Roman" w:cs="Times New Roman"/>
          <w:sz w:val="24"/>
          <w:szCs w:val="24"/>
        </w:rPr>
        <w:t>.</w:t>
      </w:r>
      <w:r w:rsidR="00F63904" w:rsidRPr="001055B5">
        <w:rPr>
          <w:rStyle w:val="Funotenzeichen"/>
          <w:rFonts w:ascii="Times New Roman" w:hAnsi="Times New Roman" w:cs="Times New Roman"/>
          <w:sz w:val="24"/>
          <w:szCs w:val="24"/>
        </w:rPr>
        <w:footnoteReference w:id="28"/>
      </w:r>
      <w:r w:rsidR="00F63904" w:rsidRPr="001055B5">
        <w:rPr>
          <w:rFonts w:ascii="Times New Roman" w:hAnsi="Times New Roman" w:cs="Times New Roman"/>
          <w:sz w:val="24"/>
          <w:szCs w:val="24"/>
        </w:rPr>
        <w:t xml:space="preserve"> </w:t>
      </w:r>
      <w:r w:rsidR="00BB4682" w:rsidRPr="001055B5">
        <w:rPr>
          <w:rFonts w:ascii="Times New Roman" w:hAnsi="Times New Roman" w:cs="Times New Roman"/>
          <w:sz w:val="24"/>
          <w:szCs w:val="24"/>
        </w:rPr>
        <w:t xml:space="preserve">Even though </w:t>
      </w:r>
      <w:r w:rsidR="003E2250" w:rsidRPr="001055B5">
        <w:rPr>
          <w:rFonts w:ascii="Times New Roman" w:hAnsi="Times New Roman" w:cs="Times New Roman"/>
          <w:sz w:val="24"/>
          <w:szCs w:val="24"/>
        </w:rPr>
        <w:t xml:space="preserve">non-life </w:t>
      </w:r>
      <w:r w:rsidR="00BB4682" w:rsidRPr="001055B5">
        <w:rPr>
          <w:rFonts w:ascii="Times New Roman" w:hAnsi="Times New Roman" w:cs="Times New Roman"/>
          <w:sz w:val="24"/>
          <w:szCs w:val="24"/>
        </w:rPr>
        <w:t xml:space="preserve">insurers </w:t>
      </w:r>
      <w:r w:rsidR="004560C9">
        <w:rPr>
          <w:rFonts w:ascii="Times New Roman" w:hAnsi="Times New Roman" w:cs="Times New Roman"/>
          <w:sz w:val="24"/>
          <w:szCs w:val="24"/>
        </w:rPr>
        <w:t xml:space="preserve">in such cases </w:t>
      </w:r>
      <w:r w:rsidR="003E2250" w:rsidRPr="001055B5">
        <w:rPr>
          <w:rFonts w:ascii="Times New Roman" w:hAnsi="Times New Roman" w:cs="Times New Roman"/>
          <w:sz w:val="24"/>
          <w:szCs w:val="24"/>
        </w:rPr>
        <w:t>may</w:t>
      </w:r>
      <w:r w:rsidR="00BB4682" w:rsidRPr="001055B5">
        <w:rPr>
          <w:rFonts w:ascii="Times New Roman" w:hAnsi="Times New Roman" w:cs="Times New Roman"/>
          <w:sz w:val="24"/>
          <w:szCs w:val="24"/>
        </w:rPr>
        <w:t xml:space="preserve"> not receive premium income anymore,</w:t>
      </w:r>
      <w:r w:rsidR="00A6095A" w:rsidRPr="001055B5">
        <w:rPr>
          <w:rFonts w:ascii="Times New Roman" w:hAnsi="Times New Roman" w:cs="Times New Roman"/>
          <w:sz w:val="24"/>
          <w:szCs w:val="24"/>
        </w:rPr>
        <w:t xml:space="preserve"> the known claims and claims incurred but not reported</w:t>
      </w:r>
      <w:r w:rsidR="00112532" w:rsidRPr="001055B5">
        <w:rPr>
          <w:rFonts w:ascii="Times New Roman" w:hAnsi="Times New Roman" w:cs="Times New Roman"/>
          <w:sz w:val="24"/>
          <w:szCs w:val="24"/>
        </w:rPr>
        <w:t xml:space="preserve"> (IBNR)</w:t>
      </w:r>
      <w:r w:rsidR="00A6095A" w:rsidRPr="001055B5">
        <w:rPr>
          <w:rFonts w:ascii="Times New Roman" w:hAnsi="Times New Roman" w:cs="Times New Roman"/>
          <w:sz w:val="24"/>
          <w:szCs w:val="24"/>
        </w:rPr>
        <w:t xml:space="preserve"> have still to be settled. Thus the companies </w:t>
      </w:r>
      <w:r w:rsidR="00224A60" w:rsidRPr="001055B5">
        <w:rPr>
          <w:rFonts w:ascii="Times New Roman" w:hAnsi="Times New Roman" w:cs="Times New Roman"/>
          <w:sz w:val="24"/>
          <w:szCs w:val="24"/>
        </w:rPr>
        <w:t>are obliged to keep sufficient amount of</w:t>
      </w:r>
      <w:r w:rsidR="00A6095A" w:rsidRPr="001055B5">
        <w:rPr>
          <w:rFonts w:ascii="Times New Roman" w:hAnsi="Times New Roman" w:cs="Times New Roman"/>
          <w:sz w:val="24"/>
          <w:szCs w:val="24"/>
        </w:rPr>
        <w:t xml:space="preserve"> technical provisions to cover those claims. Such discontinued lines of business are often referred to as </w:t>
      </w:r>
      <w:r w:rsidR="00496460" w:rsidRPr="001055B5">
        <w:rPr>
          <w:rFonts w:ascii="Times New Roman" w:hAnsi="Times New Roman" w:cs="Times New Roman"/>
          <w:sz w:val="24"/>
          <w:szCs w:val="24"/>
        </w:rPr>
        <w:t>‘</w:t>
      </w:r>
      <w:r w:rsidR="00A6095A" w:rsidRPr="001055B5">
        <w:rPr>
          <w:rFonts w:ascii="Times New Roman" w:hAnsi="Times New Roman" w:cs="Times New Roman"/>
          <w:sz w:val="24"/>
          <w:szCs w:val="24"/>
        </w:rPr>
        <w:t>run-off</w:t>
      </w:r>
      <w:r w:rsidR="00496460" w:rsidRPr="001055B5">
        <w:rPr>
          <w:rFonts w:ascii="Times New Roman" w:hAnsi="Times New Roman" w:cs="Times New Roman"/>
          <w:sz w:val="24"/>
          <w:szCs w:val="24"/>
        </w:rPr>
        <w:t>’</w:t>
      </w:r>
      <w:r w:rsidR="00A6095A" w:rsidRPr="001055B5">
        <w:rPr>
          <w:rFonts w:ascii="Times New Roman" w:hAnsi="Times New Roman" w:cs="Times New Roman"/>
          <w:sz w:val="24"/>
          <w:szCs w:val="24"/>
        </w:rPr>
        <w:t xml:space="preserve">. </w:t>
      </w:r>
      <w:r w:rsidR="00194501" w:rsidRPr="001055B5">
        <w:rPr>
          <w:rFonts w:ascii="Times New Roman" w:hAnsi="Times New Roman" w:cs="Times New Roman"/>
          <w:sz w:val="24"/>
          <w:szCs w:val="24"/>
        </w:rPr>
        <w:t>Run-off is considered completed when all the existing claims have been settled and no new ones are expected.</w:t>
      </w:r>
      <w:r w:rsidR="00194501" w:rsidRPr="001055B5">
        <w:rPr>
          <w:rStyle w:val="Funotenzeichen"/>
          <w:rFonts w:ascii="Times New Roman" w:hAnsi="Times New Roman" w:cs="Times New Roman"/>
          <w:sz w:val="24"/>
          <w:szCs w:val="24"/>
        </w:rPr>
        <w:footnoteReference w:id="29"/>
      </w:r>
      <w:r w:rsidR="00194501" w:rsidRPr="001055B5">
        <w:rPr>
          <w:rFonts w:ascii="Times New Roman" w:hAnsi="Times New Roman" w:cs="Times New Roman"/>
          <w:sz w:val="24"/>
          <w:szCs w:val="24"/>
        </w:rPr>
        <w:t xml:space="preserve"> </w:t>
      </w:r>
      <w:r w:rsidR="00BB67C4" w:rsidRPr="001055B5">
        <w:rPr>
          <w:rFonts w:ascii="Times New Roman" w:hAnsi="Times New Roman" w:cs="Times New Roman"/>
          <w:sz w:val="24"/>
          <w:szCs w:val="24"/>
        </w:rPr>
        <w:t>It should not be confused with a run-off triangle used to estimate expected future claims.</w:t>
      </w:r>
      <w:r w:rsidR="00CC5D9E" w:rsidRPr="001055B5">
        <w:rPr>
          <w:rStyle w:val="Funotenzeichen"/>
          <w:rFonts w:ascii="Times New Roman" w:hAnsi="Times New Roman" w:cs="Times New Roman"/>
          <w:sz w:val="24"/>
          <w:szCs w:val="24"/>
        </w:rPr>
        <w:footnoteReference w:id="30"/>
      </w:r>
      <w:r w:rsidR="00BB67C4" w:rsidRPr="001055B5">
        <w:rPr>
          <w:rFonts w:ascii="Times New Roman" w:hAnsi="Times New Roman" w:cs="Times New Roman"/>
          <w:sz w:val="24"/>
          <w:szCs w:val="24"/>
        </w:rPr>
        <w:t xml:space="preserve"> </w:t>
      </w:r>
    </w:p>
    <w:p w:rsidR="00BB67C4" w:rsidRPr="001055B5" w:rsidRDefault="00496460" w:rsidP="005B1DA4">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t>Run-off</w:t>
      </w:r>
      <w:r w:rsidR="005318DB" w:rsidRPr="001055B5">
        <w:rPr>
          <w:rFonts w:ascii="Times New Roman" w:hAnsi="Times New Roman" w:cs="Times New Roman"/>
          <w:sz w:val="24"/>
          <w:szCs w:val="24"/>
        </w:rPr>
        <w:t>,</w:t>
      </w:r>
      <w:r w:rsidRPr="001055B5">
        <w:rPr>
          <w:rFonts w:ascii="Times New Roman" w:hAnsi="Times New Roman" w:cs="Times New Roman"/>
          <w:sz w:val="24"/>
          <w:szCs w:val="24"/>
        </w:rPr>
        <w:t xml:space="preserve"> or </w:t>
      </w:r>
      <w:r w:rsidR="00BB67C4" w:rsidRPr="001055B5">
        <w:rPr>
          <w:rFonts w:ascii="Times New Roman" w:hAnsi="Times New Roman" w:cs="Times New Roman"/>
          <w:sz w:val="24"/>
          <w:szCs w:val="24"/>
        </w:rPr>
        <w:t>discontinued business</w:t>
      </w:r>
      <w:r w:rsidR="005318DB" w:rsidRPr="001055B5">
        <w:rPr>
          <w:rFonts w:ascii="Times New Roman" w:hAnsi="Times New Roman" w:cs="Times New Roman"/>
          <w:sz w:val="24"/>
          <w:szCs w:val="24"/>
        </w:rPr>
        <w:t>,</w:t>
      </w:r>
      <w:r w:rsidR="00BB67C4" w:rsidRPr="001055B5">
        <w:rPr>
          <w:rFonts w:ascii="Times New Roman" w:hAnsi="Times New Roman" w:cs="Times New Roman"/>
          <w:sz w:val="24"/>
          <w:szCs w:val="24"/>
        </w:rPr>
        <w:t xml:space="preserve"> sometimes is also referred to as ‘legacy</w:t>
      </w:r>
      <w:r w:rsidR="004F6FB0" w:rsidRPr="001055B5">
        <w:rPr>
          <w:rFonts w:ascii="Times New Roman" w:hAnsi="Times New Roman" w:cs="Times New Roman"/>
          <w:sz w:val="24"/>
          <w:szCs w:val="24"/>
        </w:rPr>
        <w:t>’</w:t>
      </w:r>
      <w:r w:rsidR="00BB67C4" w:rsidRPr="001055B5">
        <w:rPr>
          <w:rFonts w:ascii="Times New Roman" w:hAnsi="Times New Roman" w:cs="Times New Roman"/>
          <w:sz w:val="24"/>
          <w:szCs w:val="24"/>
        </w:rPr>
        <w:t xml:space="preserve"> </w:t>
      </w:r>
      <w:r w:rsidR="00112532" w:rsidRPr="001055B5">
        <w:rPr>
          <w:rFonts w:ascii="Times New Roman" w:hAnsi="Times New Roman" w:cs="Times New Roman"/>
          <w:sz w:val="24"/>
          <w:szCs w:val="24"/>
        </w:rPr>
        <w:t>or</w:t>
      </w:r>
      <w:r w:rsidR="00BB67C4" w:rsidRPr="001055B5">
        <w:rPr>
          <w:rFonts w:ascii="Times New Roman" w:hAnsi="Times New Roman" w:cs="Times New Roman"/>
          <w:sz w:val="24"/>
          <w:szCs w:val="24"/>
        </w:rPr>
        <w:t xml:space="preserve"> ‘inactive</w:t>
      </w:r>
      <w:r w:rsidR="004F6FB0" w:rsidRPr="001055B5">
        <w:rPr>
          <w:rFonts w:ascii="Times New Roman" w:hAnsi="Times New Roman" w:cs="Times New Roman"/>
          <w:sz w:val="24"/>
          <w:szCs w:val="24"/>
        </w:rPr>
        <w:t>’ business</w:t>
      </w:r>
      <w:r w:rsidR="00BB67C4" w:rsidRPr="001055B5">
        <w:rPr>
          <w:rFonts w:ascii="Times New Roman" w:hAnsi="Times New Roman" w:cs="Times New Roman"/>
          <w:sz w:val="24"/>
          <w:szCs w:val="24"/>
        </w:rPr>
        <w:t xml:space="preserve">. </w:t>
      </w:r>
      <w:r w:rsidR="00CC5D9E" w:rsidRPr="001055B5">
        <w:rPr>
          <w:rFonts w:ascii="Times New Roman" w:hAnsi="Times New Roman" w:cs="Times New Roman"/>
          <w:sz w:val="24"/>
          <w:szCs w:val="24"/>
        </w:rPr>
        <w:t xml:space="preserve">On the other hand practitioners sometimes use the term ‘run-off’ to describe a part of </w:t>
      </w:r>
      <w:r w:rsidR="00CC5D9E" w:rsidRPr="001055B5">
        <w:rPr>
          <w:rFonts w:ascii="Times New Roman" w:hAnsi="Times New Roman" w:cs="Times New Roman"/>
          <w:sz w:val="24"/>
          <w:szCs w:val="24"/>
        </w:rPr>
        <w:lastRenderedPageBreak/>
        <w:t>discontinued business which is being proactively managed.</w:t>
      </w:r>
      <w:r w:rsidR="00CC5D9E" w:rsidRPr="001055B5">
        <w:rPr>
          <w:rStyle w:val="Funotenzeichen"/>
          <w:rFonts w:ascii="Times New Roman" w:hAnsi="Times New Roman" w:cs="Times New Roman"/>
          <w:sz w:val="24"/>
          <w:szCs w:val="24"/>
        </w:rPr>
        <w:footnoteReference w:id="31"/>
      </w:r>
      <w:r w:rsidR="00CC5D9E" w:rsidRPr="001055B5">
        <w:rPr>
          <w:rFonts w:ascii="Times New Roman" w:hAnsi="Times New Roman" w:cs="Times New Roman"/>
          <w:sz w:val="24"/>
          <w:szCs w:val="24"/>
        </w:rPr>
        <w:t xml:space="preserve"> </w:t>
      </w:r>
      <w:r w:rsidR="00BB67C4" w:rsidRPr="001055B5">
        <w:rPr>
          <w:rFonts w:ascii="Times New Roman" w:hAnsi="Times New Roman" w:cs="Times New Roman"/>
          <w:sz w:val="24"/>
          <w:szCs w:val="24"/>
        </w:rPr>
        <w:t>For the purposes of this paper</w:t>
      </w:r>
      <w:r w:rsidR="00CC5D9E" w:rsidRPr="001055B5">
        <w:rPr>
          <w:rFonts w:ascii="Times New Roman" w:hAnsi="Times New Roman" w:cs="Times New Roman"/>
          <w:sz w:val="24"/>
          <w:szCs w:val="24"/>
        </w:rPr>
        <w:t xml:space="preserve">, however, </w:t>
      </w:r>
      <w:r w:rsidR="00BB67C4" w:rsidRPr="001055B5">
        <w:rPr>
          <w:rFonts w:ascii="Times New Roman" w:hAnsi="Times New Roman" w:cs="Times New Roman"/>
          <w:sz w:val="24"/>
          <w:szCs w:val="24"/>
        </w:rPr>
        <w:t xml:space="preserve">all four terms are used as synonyms. </w:t>
      </w:r>
    </w:p>
    <w:p w:rsidR="00A40CCD" w:rsidRPr="001055B5" w:rsidRDefault="00A40CCD" w:rsidP="005B1DA4">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t>Cons</w:t>
      </w:r>
      <w:r w:rsidR="00BB67C4" w:rsidRPr="001055B5">
        <w:rPr>
          <w:rFonts w:ascii="Times New Roman" w:hAnsi="Times New Roman" w:cs="Times New Roman"/>
          <w:sz w:val="24"/>
          <w:szCs w:val="24"/>
        </w:rPr>
        <w:t xml:space="preserve">idering </w:t>
      </w:r>
      <w:r w:rsidR="009451AB" w:rsidRPr="001055B5">
        <w:rPr>
          <w:rFonts w:ascii="Times New Roman" w:hAnsi="Times New Roman" w:cs="Times New Roman"/>
          <w:sz w:val="24"/>
          <w:szCs w:val="24"/>
        </w:rPr>
        <w:t xml:space="preserve">that </w:t>
      </w:r>
      <w:r w:rsidR="00BB67C4" w:rsidRPr="001055B5">
        <w:rPr>
          <w:rFonts w:ascii="Times New Roman" w:hAnsi="Times New Roman" w:cs="Times New Roman"/>
          <w:sz w:val="24"/>
          <w:szCs w:val="24"/>
        </w:rPr>
        <w:t xml:space="preserve">the research of </w:t>
      </w:r>
      <w:r w:rsidR="00DF7099">
        <w:rPr>
          <w:rFonts w:ascii="Times New Roman" w:hAnsi="Times New Roman" w:cs="Times New Roman"/>
          <w:sz w:val="24"/>
          <w:szCs w:val="24"/>
        </w:rPr>
        <w:t xml:space="preserve">insurance </w:t>
      </w:r>
      <w:r w:rsidR="00BB67C4" w:rsidRPr="001055B5">
        <w:rPr>
          <w:rFonts w:ascii="Times New Roman" w:hAnsi="Times New Roman" w:cs="Times New Roman"/>
          <w:sz w:val="24"/>
          <w:szCs w:val="24"/>
        </w:rPr>
        <w:t xml:space="preserve">run-off business </w:t>
      </w:r>
      <w:r w:rsidRPr="001055B5">
        <w:rPr>
          <w:rFonts w:ascii="Times New Roman" w:hAnsi="Times New Roman" w:cs="Times New Roman"/>
          <w:sz w:val="24"/>
          <w:szCs w:val="24"/>
        </w:rPr>
        <w:t>is</w:t>
      </w:r>
      <w:r w:rsidR="00BB67C4" w:rsidRPr="001055B5">
        <w:rPr>
          <w:rFonts w:ascii="Times New Roman" w:hAnsi="Times New Roman" w:cs="Times New Roman"/>
          <w:sz w:val="24"/>
          <w:szCs w:val="24"/>
        </w:rPr>
        <w:t xml:space="preserve"> a relatively new field and </w:t>
      </w:r>
      <w:r w:rsidRPr="001055B5">
        <w:rPr>
          <w:rFonts w:ascii="Times New Roman" w:hAnsi="Times New Roman" w:cs="Times New Roman"/>
          <w:sz w:val="24"/>
          <w:szCs w:val="24"/>
        </w:rPr>
        <w:t>only a ha</w:t>
      </w:r>
      <w:r w:rsidR="00112532" w:rsidRPr="001055B5">
        <w:rPr>
          <w:rFonts w:ascii="Times New Roman" w:hAnsi="Times New Roman" w:cs="Times New Roman"/>
          <w:sz w:val="24"/>
          <w:szCs w:val="24"/>
        </w:rPr>
        <w:t xml:space="preserve">ndful of academic works address </w:t>
      </w:r>
      <w:r w:rsidRPr="001055B5">
        <w:rPr>
          <w:rFonts w:ascii="Times New Roman" w:hAnsi="Times New Roman" w:cs="Times New Roman"/>
          <w:sz w:val="24"/>
          <w:szCs w:val="24"/>
        </w:rPr>
        <w:t>the subject directly or incidentally, there is no strict definition and classification of ways to manage it. However, based on existing practices and studies</w:t>
      </w:r>
      <w:r w:rsidR="00112532" w:rsidRPr="001055B5">
        <w:rPr>
          <w:rFonts w:ascii="Times New Roman" w:hAnsi="Times New Roman" w:cs="Times New Roman"/>
          <w:sz w:val="24"/>
          <w:szCs w:val="24"/>
        </w:rPr>
        <w:t>,</w:t>
      </w:r>
      <w:r w:rsidRPr="001055B5">
        <w:rPr>
          <w:rFonts w:ascii="Times New Roman" w:hAnsi="Times New Roman" w:cs="Times New Roman"/>
          <w:sz w:val="24"/>
          <w:szCs w:val="24"/>
        </w:rPr>
        <w:t xml:space="preserve"> certain approache</w:t>
      </w:r>
      <w:r w:rsidR="002F54A2" w:rsidRPr="001055B5">
        <w:rPr>
          <w:rFonts w:ascii="Times New Roman" w:hAnsi="Times New Roman" w:cs="Times New Roman"/>
          <w:sz w:val="24"/>
          <w:szCs w:val="24"/>
        </w:rPr>
        <w:t>s</w:t>
      </w:r>
      <w:r w:rsidRPr="001055B5">
        <w:rPr>
          <w:rFonts w:ascii="Times New Roman" w:hAnsi="Times New Roman" w:cs="Times New Roman"/>
          <w:sz w:val="24"/>
          <w:szCs w:val="24"/>
        </w:rPr>
        <w:t xml:space="preserve"> to managing </w:t>
      </w:r>
      <w:r w:rsidR="00DA37BC">
        <w:rPr>
          <w:rFonts w:ascii="Times New Roman" w:hAnsi="Times New Roman" w:cs="Times New Roman"/>
          <w:sz w:val="24"/>
          <w:szCs w:val="24"/>
        </w:rPr>
        <w:t xml:space="preserve">it </w:t>
      </w:r>
      <w:r w:rsidRPr="001055B5">
        <w:rPr>
          <w:rFonts w:ascii="Times New Roman" w:hAnsi="Times New Roman" w:cs="Times New Roman"/>
          <w:sz w:val="24"/>
          <w:szCs w:val="24"/>
        </w:rPr>
        <w:t>can be determined.</w:t>
      </w:r>
      <w:bookmarkStart w:id="10" w:name="_Ref402868220"/>
      <w:r w:rsidR="004F6FB0" w:rsidRPr="001055B5">
        <w:rPr>
          <w:rStyle w:val="Funotenzeichen"/>
          <w:rFonts w:ascii="Times New Roman" w:hAnsi="Times New Roman" w:cs="Times New Roman"/>
          <w:sz w:val="24"/>
        </w:rPr>
        <w:footnoteReference w:id="32"/>
      </w:r>
      <w:bookmarkEnd w:id="10"/>
      <w:r w:rsidRPr="001055B5">
        <w:rPr>
          <w:rFonts w:ascii="Times New Roman" w:hAnsi="Times New Roman" w:cs="Times New Roman"/>
          <w:sz w:val="24"/>
          <w:szCs w:val="24"/>
        </w:rPr>
        <w:t xml:space="preserve"> </w:t>
      </w:r>
    </w:p>
    <w:p w:rsidR="007A2FA7" w:rsidRPr="001055B5" w:rsidRDefault="00A40CCD" w:rsidP="005B1DA4">
      <w:pPr>
        <w:pStyle w:val="Textkrper-Zeileneinzug"/>
        <w:spacing w:line="360" w:lineRule="auto"/>
        <w:ind w:firstLine="709"/>
        <w:jc w:val="both"/>
        <w:rPr>
          <w:rFonts w:ascii="Times New Roman" w:hAnsi="Times New Roman"/>
          <w:sz w:val="24"/>
          <w:lang w:val="en-GB"/>
        </w:rPr>
      </w:pPr>
      <w:r w:rsidRPr="001055B5">
        <w:rPr>
          <w:rFonts w:ascii="Times New Roman" w:hAnsi="Times New Roman"/>
          <w:sz w:val="24"/>
          <w:lang w:val="en-GB"/>
        </w:rPr>
        <w:t>Legacy business</w:t>
      </w:r>
      <w:r w:rsidR="00BB67C4" w:rsidRPr="001055B5">
        <w:rPr>
          <w:rFonts w:ascii="Times New Roman" w:hAnsi="Times New Roman"/>
          <w:sz w:val="24"/>
          <w:lang w:val="en-GB"/>
        </w:rPr>
        <w:t xml:space="preserve"> can be managed passively, when a company </w:t>
      </w:r>
      <w:r w:rsidR="0067540C" w:rsidRPr="001055B5">
        <w:rPr>
          <w:rFonts w:ascii="Times New Roman" w:hAnsi="Times New Roman"/>
          <w:sz w:val="24"/>
          <w:lang w:val="en-GB"/>
        </w:rPr>
        <w:t>deals with claims as they arise</w:t>
      </w:r>
      <w:r w:rsidR="00BB67C4" w:rsidRPr="001055B5">
        <w:rPr>
          <w:rFonts w:ascii="Times New Roman" w:hAnsi="Times New Roman"/>
          <w:sz w:val="24"/>
          <w:lang w:val="en-GB"/>
        </w:rPr>
        <w:t xml:space="preserve"> without any proactive attempts to decrease the size of the portfolio. On the other hand, active management requires </w:t>
      </w:r>
      <w:r w:rsidRPr="001055B5">
        <w:rPr>
          <w:rFonts w:ascii="Times New Roman" w:hAnsi="Times New Roman"/>
          <w:sz w:val="24"/>
          <w:lang w:val="en-GB"/>
        </w:rPr>
        <w:t xml:space="preserve">certain </w:t>
      </w:r>
      <w:r w:rsidR="00BB67C4" w:rsidRPr="001055B5">
        <w:rPr>
          <w:rFonts w:ascii="Times New Roman" w:hAnsi="Times New Roman"/>
          <w:sz w:val="24"/>
          <w:lang w:val="en-GB"/>
        </w:rPr>
        <w:t>action</w:t>
      </w:r>
      <w:r w:rsidRPr="001055B5">
        <w:rPr>
          <w:rFonts w:ascii="Times New Roman" w:hAnsi="Times New Roman"/>
          <w:sz w:val="24"/>
          <w:lang w:val="en-GB"/>
        </w:rPr>
        <w:t>s</w:t>
      </w:r>
      <w:r w:rsidR="00BB67C4" w:rsidRPr="001055B5">
        <w:rPr>
          <w:rFonts w:ascii="Times New Roman" w:hAnsi="Times New Roman"/>
          <w:sz w:val="24"/>
          <w:lang w:val="en-GB"/>
        </w:rPr>
        <w:t xml:space="preserve"> from a firm to decrease the size of discontinued portfolio and achieve finality sooner than its natural course. It can be done internally (in-house) by the company itself or externally involving third parties. </w:t>
      </w:r>
      <w:r w:rsidR="007A2FA7" w:rsidRPr="001055B5">
        <w:rPr>
          <w:rFonts w:ascii="Times New Roman" w:hAnsi="Times New Roman"/>
          <w:sz w:val="24"/>
          <w:lang w:val="en-GB"/>
        </w:rPr>
        <w:t xml:space="preserve">There are numbers of ways for that, most important of which are commutations, schemes of arrangement, loss portfolio transfer </w:t>
      </w:r>
      <w:r w:rsidR="00BB024A" w:rsidRPr="001055B5">
        <w:rPr>
          <w:rFonts w:ascii="Times New Roman" w:hAnsi="Times New Roman"/>
          <w:sz w:val="24"/>
          <w:lang w:val="en-GB"/>
        </w:rPr>
        <w:t>or</w:t>
      </w:r>
      <w:r w:rsidR="007A2FA7" w:rsidRPr="001055B5">
        <w:rPr>
          <w:rFonts w:ascii="Times New Roman" w:hAnsi="Times New Roman"/>
          <w:sz w:val="24"/>
          <w:lang w:val="en-GB"/>
        </w:rPr>
        <w:t xml:space="preserve"> reinsurance. </w:t>
      </w:r>
      <w:r w:rsidR="00602944" w:rsidRPr="001055B5">
        <w:rPr>
          <w:rFonts w:ascii="Times New Roman" w:hAnsi="Times New Roman"/>
          <w:sz w:val="24"/>
          <w:lang w:val="en-GB"/>
        </w:rPr>
        <w:t xml:space="preserve">The detailed discussion of each method is outside of scope of the current paper and is left for future research. </w:t>
      </w:r>
    </w:p>
    <w:p w:rsidR="004F6FB0" w:rsidRPr="001055B5" w:rsidRDefault="004F6FB0" w:rsidP="005B1DA4">
      <w:pPr>
        <w:pStyle w:val="Textkrper-Zeileneinzug"/>
        <w:spacing w:line="360" w:lineRule="auto"/>
        <w:ind w:firstLine="709"/>
        <w:jc w:val="both"/>
        <w:rPr>
          <w:rFonts w:ascii="Times New Roman" w:hAnsi="Times New Roman"/>
          <w:sz w:val="24"/>
          <w:lang w:val="en-GB"/>
        </w:rPr>
      </w:pPr>
      <w:r w:rsidRPr="001055B5">
        <w:rPr>
          <w:rFonts w:ascii="Times New Roman" w:hAnsi="Times New Roman"/>
          <w:sz w:val="24"/>
          <w:lang w:val="en-GB"/>
        </w:rPr>
        <w:t>According to the latest survey the size of the</w:t>
      </w:r>
      <w:r w:rsidR="003A0A12" w:rsidRPr="001055B5">
        <w:rPr>
          <w:rFonts w:ascii="Times New Roman" w:hAnsi="Times New Roman"/>
          <w:sz w:val="24"/>
          <w:lang w:val="en-GB"/>
        </w:rPr>
        <w:t xml:space="preserve"> non-life</w:t>
      </w:r>
      <w:r w:rsidRPr="001055B5">
        <w:rPr>
          <w:rFonts w:ascii="Times New Roman" w:hAnsi="Times New Roman"/>
          <w:sz w:val="24"/>
          <w:lang w:val="en-GB"/>
        </w:rPr>
        <w:t xml:space="preserve"> legacy market in Europe</w:t>
      </w:r>
      <w:r w:rsidR="009C7C1B" w:rsidRPr="001055B5">
        <w:rPr>
          <w:rFonts w:ascii="Times New Roman" w:hAnsi="Times New Roman"/>
          <w:sz w:val="24"/>
          <w:lang w:val="en-GB"/>
        </w:rPr>
        <w:t xml:space="preserve"> alone</w:t>
      </w:r>
      <w:r w:rsidRPr="001055B5">
        <w:rPr>
          <w:rFonts w:ascii="Times New Roman" w:hAnsi="Times New Roman"/>
          <w:sz w:val="24"/>
          <w:lang w:val="en-GB"/>
        </w:rPr>
        <w:t xml:space="preserve"> is EUR 242 billion.</w:t>
      </w:r>
      <w:bookmarkStart w:id="11" w:name="_Ref403055834"/>
      <w:r w:rsidRPr="001055B5">
        <w:rPr>
          <w:rStyle w:val="Funotenzeichen"/>
          <w:rFonts w:ascii="Times New Roman" w:hAnsi="Times New Roman"/>
          <w:sz w:val="24"/>
          <w:lang w:val="en-GB"/>
        </w:rPr>
        <w:footnoteReference w:id="33"/>
      </w:r>
      <w:bookmarkEnd w:id="11"/>
      <w:r w:rsidR="00A62880" w:rsidRPr="001055B5">
        <w:rPr>
          <w:rFonts w:ascii="Times New Roman" w:hAnsi="Times New Roman"/>
          <w:sz w:val="24"/>
          <w:lang w:val="en-GB"/>
        </w:rPr>
        <w:t xml:space="preserve"> It has been characterised by a continuous growth in the last years and </w:t>
      </w:r>
      <w:r w:rsidR="0021001D">
        <w:rPr>
          <w:rFonts w:ascii="Times New Roman" w:hAnsi="Times New Roman"/>
          <w:sz w:val="24"/>
          <w:lang w:val="en-GB"/>
        </w:rPr>
        <w:t xml:space="preserve">by </w:t>
      </w:r>
      <w:r w:rsidR="00034145">
        <w:rPr>
          <w:rFonts w:ascii="Times New Roman" w:hAnsi="Times New Roman"/>
          <w:sz w:val="24"/>
          <w:lang w:val="en-GB"/>
        </w:rPr>
        <w:t>growing</w:t>
      </w:r>
      <w:r w:rsidR="00A62880" w:rsidRPr="001055B5">
        <w:rPr>
          <w:rFonts w:ascii="Times New Roman" w:hAnsi="Times New Roman"/>
          <w:sz w:val="24"/>
          <w:lang w:val="en-GB"/>
        </w:rPr>
        <w:t xml:space="preserve"> focus in the continental Europe. Due to its massive </w:t>
      </w:r>
      <w:r w:rsidR="00CC0044" w:rsidRPr="001055B5">
        <w:rPr>
          <w:rFonts w:ascii="Times New Roman" w:hAnsi="Times New Roman"/>
          <w:sz w:val="24"/>
          <w:lang w:val="en-GB"/>
        </w:rPr>
        <w:t xml:space="preserve">market </w:t>
      </w:r>
      <w:r w:rsidR="00A62880" w:rsidRPr="001055B5">
        <w:rPr>
          <w:rFonts w:ascii="Times New Roman" w:hAnsi="Times New Roman"/>
          <w:sz w:val="24"/>
          <w:lang w:val="en-GB"/>
        </w:rPr>
        <w:t xml:space="preserve">size and increased importance the impact of Solvency II on </w:t>
      </w:r>
      <w:r w:rsidR="00CC0044" w:rsidRPr="001055B5">
        <w:rPr>
          <w:rFonts w:ascii="Times New Roman" w:hAnsi="Times New Roman"/>
          <w:sz w:val="24"/>
          <w:lang w:val="en-GB"/>
        </w:rPr>
        <w:t xml:space="preserve">the </w:t>
      </w:r>
      <w:r w:rsidR="00A62880" w:rsidRPr="001055B5">
        <w:rPr>
          <w:rFonts w:ascii="Times New Roman" w:hAnsi="Times New Roman"/>
          <w:sz w:val="24"/>
          <w:lang w:val="en-GB"/>
        </w:rPr>
        <w:t xml:space="preserve">run-off industry becomes </w:t>
      </w:r>
      <w:r w:rsidR="00B05D78" w:rsidRPr="001055B5">
        <w:rPr>
          <w:rFonts w:ascii="Times New Roman" w:hAnsi="Times New Roman"/>
          <w:sz w:val="24"/>
          <w:lang w:val="en-GB"/>
        </w:rPr>
        <w:t>a relevant</w:t>
      </w:r>
      <w:r w:rsidR="00A62880" w:rsidRPr="001055B5">
        <w:rPr>
          <w:rFonts w:ascii="Times New Roman" w:hAnsi="Times New Roman"/>
          <w:sz w:val="24"/>
          <w:lang w:val="en-GB"/>
        </w:rPr>
        <w:t xml:space="preserve"> topic for many companies. </w:t>
      </w:r>
    </w:p>
    <w:p w:rsidR="00112532" w:rsidRPr="001055B5" w:rsidRDefault="00112532" w:rsidP="005B1DA4">
      <w:pPr>
        <w:pStyle w:val="Textkrper-Zeileneinzug"/>
        <w:spacing w:line="360" w:lineRule="auto"/>
        <w:ind w:firstLine="709"/>
        <w:jc w:val="both"/>
        <w:rPr>
          <w:rFonts w:ascii="Times New Roman" w:hAnsi="Times New Roman"/>
          <w:sz w:val="24"/>
          <w:lang w:val="en-GB"/>
        </w:rPr>
      </w:pPr>
    </w:p>
    <w:p w:rsidR="00602944" w:rsidRPr="001055B5" w:rsidRDefault="00112532" w:rsidP="003C5E3D">
      <w:pPr>
        <w:pStyle w:val="Textkrper-Zeileneinzug"/>
        <w:spacing w:after="120" w:line="360" w:lineRule="auto"/>
        <w:ind w:firstLine="709"/>
        <w:jc w:val="both"/>
        <w:rPr>
          <w:rFonts w:ascii="Times New Roman" w:hAnsi="Times New Roman"/>
          <w:b/>
          <w:sz w:val="24"/>
          <w:lang w:val="en-GB"/>
        </w:rPr>
      </w:pPr>
      <w:r w:rsidRPr="001055B5">
        <w:rPr>
          <w:rFonts w:ascii="Times New Roman" w:hAnsi="Times New Roman"/>
          <w:b/>
          <w:sz w:val="24"/>
          <w:lang w:val="en-GB"/>
        </w:rPr>
        <w:t xml:space="preserve">3.2 </w:t>
      </w:r>
      <w:r w:rsidR="00602944" w:rsidRPr="001055B5">
        <w:rPr>
          <w:rFonts w:ascii="Times New Roman" w:hAnsi="Times New Roman"/>
          <w:b/>
          <w:sz w:val="24"/>
          <w:lang w:val="en-GB"/>
        </w:rPr>
        <w:t xml:space="preserve">Impact of Solvency II on </w:t>
      </w:r>
      <w:r w:rsidR="00C4005D" w:rsidRPr="001055B5">
        <w:rPr>
          <w:rFonts w:ascii="Times New Roman" w:hAnsi="Times New Roman"/>
          <w:b/>
          <w:sz w:val="24"/>
          <w:lang w:val="en-GB"/>
        </w:rPr>
        <w:t>discontinued business</w:t>
      </w:r>
    </w:p>
    <w:p w:rsidR="00112532" w:rsidRPr="001055B5" w:rsidRDefault="00021D68" w:rsidP="00B42489">
      <w:pPr>
        <w:pStyle w:val="Textkrper-Zeileneinzug"/>
        <w:spacing w:line="360" w:lineRule="auto"/>
        <w:ind w:firstLine="0"/>
        <w:jc w:val="both"/>
        <w:rPr>
          <w:rFonts w:ascii="Times New Roman" w:hAnsi="Times New Roman"/>
          <w:sz w:val="24"/>
          <w:lang w:val="en-GB"/>
        </w:rPr>
      </w:pPr>
      <w:r w:rsidRPr="001055B5">
        <w:rPr>
          <w:rFonts w:ascii="Times New Roman" w:hAnsi="Times New Roman"/>
          <w:sz w:val="24"/>
          <w:lang w:val="en-GB"/>
        </w:rPr>
        <w:t>This section highlights the ramification</w:t>
      </w:r>
      <w:r w:rsidR="00E23C17">
        <w:rPr>
          <w:rFonts w:ascii="Times New Roman" w:hAnsi="Times New Roman"/>
          <w:sz w:val="24"/>
          <w:lang w:val="en-GB"/>
        </w:rPr>
        <w:t>s</w:t>
      </w:r>
      <w:r w:rsidRPr="001055B5">
        <w:rPr>
          <w:rFonts w:ascii="Times New Roman" w:hAnsi="Times New Roman"/>
          <w:sz w:val="24"/>
          <w:lang w:val="en-GB"/>
        </w:rPr>
        <w:t xml:space="preserve"> of Solvency II for discontinued </w:t>
      </w:r>
      <w:r w:rsidR="0090418A">
        <w:rPr>
          <w:rFonts w:ascii="Times New Roman" w:hAnsi="Times New Roman"/>
          <w:sz w:val="24"/>
          <w:lang w:val="en-GB"/>
        </w:rPr>
        <w:t xml:space="preserve">non-life </w:t>
      </w:r>
      <w:r w:rsidRPr="001055B5">
        <w:rPr>
          <w:rFonts w:ascii="Times New Roman" w:hAnsi="Times New Roman"/>
          <w:sz w:val="24"/>
          <w:lang w:val="en-GB"/>
        </w:rPr>
        <w:t xml:space="preserve">insurance. In order to provide </w:t>
      </w:r>
      <w:r w:rsidR="00486447" w:rsidRPr="001055B5">
        <w:rPr>
          <w:rFonts w:ascii="Times New Roman" w:hAnsi="Times New Roman"/>
          <w:sz w:val="24"/>
          <w:lang w:val="en-GB"/>
        </w:rPr>
        <w:t xml:space="preserve">a </w:t>
      </w:r>
      <w:r w:rsidRPr="001055B5">
        <w:rPr>
          <w:rFonts w:ascii="Times New Roman" w:hAnsi="Times New Roman"/>
          <w:sz w:val="24"/>
          <w:lang w:val="en-GB"/>
        </w:rPr>
        <w:t xml:space="preserve">better structure, the impact of each pillar is analysed separately. </w:t>
      </w:r>
    </w:p>
    <w:p w:rsidR="00602944" w:rsidRPr="001055B5" w:rsidRDefault="00112532" w:rsidP="00002398">
      <w:pPr>
        <w:pStyle w:val="Textkrper-Zeileneinzug"/>
        <w:spacing w:before="120" w:after="120" w:line="360" w:lineRule="auto"/>
        <w:ind w:firstLine="709"/>
        <w:jc w:val="both"/>
        <w:rPr>
          <w:rFonts w:ascii="Times New Roman" w:hAnsi="Times New Roman"/>
          <w:b/>
          <w:sz w:val="24"/>
          <w:lang w:val="en-GB"/>
        </w:rPr>
      </w:pPr>
      <w:r w:rsidRPr="001055B5">
        <w:rPr>
          <w:rFonts w:ascii="Times New Roman" w:hAnsi="Times New Roman"/>
          <w:b/>
          <w:sz w:val="24"/>
          <w:lang w:val="en-GB"/>
        </w:rPr>
        <w:t xml:space="preserve">3.2.1 </w:t>
      </w:r>
      <w:r w:rsidR="00602944" w:rsidRPr="001055B5">
        <w:rPr>
          <w:rFonts w:ascii="Times New Roman" w:hAnsi="Times New Roman"/>
          <w:b/>
          <w:sz w:val="24"/>
          <w:lang w:val="en-GB"/>
        </w:rPr>
        <w:t>Pillar I (</w:t>
      </w:r>
      <w:r w:rsidR="00476BCB" w:rsidRPr="001055B5">
        <w:rPr>
          <w:rFonts w:ascii="Times New Roman" w:hAnsi="Times New Roman"/>
          <w:b/>
          <w:sz w:val="24"/>
          <w:lang w:val="en-GB"/>
        </w:rPr>
        <w:t xml:space="preserve">Quantitative </w:t>
      </w:r>
      <w:r w:rsidR="00602944" w:rsidRPr="001055B5">
        <w:rPr>
          <w:rFonts w:ascii="Times New Roman" w:hAnsi="Times New Roman"/>
          <w:b/>
          <w:sz w:val="24"/>
          <w:lang w:val="en-GB"/>
        </w:rPr>
        <w:t xml:space="preserve">requirements) </w:t>
      </w:r>
    </w:p>
    <w:p w:rsidR="003D5F72" w:rsidRPr="001055B5" w:rsidRDefault="0067540C" w:rsidP="00B42489">
      <w:pPr>
        <w:pStyle w:val="Textkrper-Zeileneinzug"/>
        <w:spacing w:line="360" w:lineRule="auto"/>
        <w:ind w:firstLine="0"/>
        <w:jc w:val="both"/>
        <w:rPr>
          <w:rFonts w:ascii="Times New Roman" w:hAnsi="Times New Roman"/>
          <w:sz w:val="24"/>
          <w:lang w:val="en-GB"/>
        </w:rPr>
      </w:pPr>
      <w:r w:rsidRPr="001055B5">
        <w:rPr>
          <w:rFonts w:ascii="Times New Roman" w:hAnsi="Times New Roman"/>
          <w:sz w:val="24"/>
          <w:lang w:val="en-GB"/>
        </w:rPr>
        <w:t xml:space="preserve">Probably the most tangible </w:t>
      </w:r>
      <w:r w:rsidR="00E36F1F" w:rsidRPr="001055B5">
        <w:rPr>
          <w:rFonts w:ascii="Times New Roman" w:hAnsi="Times New Roman"/>
          <w:sz w:val="24"/>
          <w:lang w:val="en-GB"/>
        </w:rPr>
        <w:t>effect</w:t>
      </w:r>
      <w:r w:rsidRPr="001055B5">
        <w:rPr>
          <w:rFonts w:ascii="Times New Roman" w:hAnsi="Times New Roman"/>
          <w:sz w:val="24"/>
          <w:lang w:val="en-GB"/>
        </w:rPr>
        <w:t xml:space="preserve"> on the run-off industry will have the capital requirements of Solvency II. </w:t>
      </w:r>
      <w:r w:rsidR="002C6214" w:rsidRPr="001055B5">
        <w:rPr>
          <w:rFonts w:ascii="Times New Roman" w:hAnsi="Times New Roman"/>
          <w:sz w:val="24"/>
          <w:lang w:val="en-GB"/>
        </w:rPr>
        <w:t xml:space="preserve">According to Solvency I, as discussed before, the SCR for non-life insurance is </w:t>
      </w:r>
      <w:r w:rsidR="002C6214" w:rsidRPr="001055B5">
        <w:rPr>
          <w:rFonts w:ascii="Times New Roman" w:hAnsi="Times New Roman"/>
          <w:sz w:val="24"/>
          <w:lang w:val="en-GB"/>
        </w:rPr>
        <w:lastRenderedPageBreak/>
        <w:t xml:space="preserve">determined based on the higher of premium and claim indices for the past three years. </w:t>
      </w:r>
      <w:r w:rsidR="006702CF" w:rsidRPr="001055B5">
        <w:rPr>
          <w:rFonts w:ascii="Times New Roman" w:hAnsi="Times New Roman"/>
          <w:sz w:val="24"/>
          <w:lang w:val="en-GB"/>
        </w:rPr>
        <w:t xml:space="preserve">Since run-off portfolios as a rule have low volume of premiums, the claims burden is mainly </w:t>
      </w:r>
      <w:r w:rsidR="003D5F72" w:rsidRPr="001055B5">
        <w:rPr>
          <w:rFonts w:ascii="Times New Roman" w:hAnsi="Times New Roman"/>
          <w:sz w:val="24"/>
          <w:lang w:val="en-GB"/>
        </w:rPr>
        <w:t>relevant</w:t>
      </w:r>
      <w:r w:rsidR="006702CF" w:rsidRPr="001055B5">
        <w:rPr>
          <w:rFonts w:ascii="Times New Roman" w:hAnsi="Times New Roman"/>
          <w:sz w:val="24"/>
          <w:lang w:val="en-GB"/>
        </w:rPr>
        <w:t xml:space="preserve">. </w:t>
      </w:r>
      <w:r w:rsidR="004049C4" w:rsidRPr="001055B5">
        <w:rPr>
          <w:rFonts w:ascii="Times New Roman" w:hAnsi="Times New Roman"/>
          <w:sz w:val="24"/>
          <w:lang w:val="en-GB"/>
        </w:rPr>
        <w:t>If a company has sufficient reserves it can effective</w:t>
      </w:r>
      <w:r w:rsidR="009927DB" w:rsidRPr="001055B5">
        <w:rPr>
          <w:rFonts w:ascii="Times New Roman" w:hAnsi="Times New Roman"/>
          <w:sz w:val="24"/>
          <w:lang w:val="en-GB"/>
        </w:rPr>
        <w:t>ly</w:t>
      </w:r>
      <w:r w:rsidR="004049C4" w:rsidRPr="001055B5">
        <w:rPr>
          <w:rFonts w:ascii="Times New Roman" w:hAnsi="Times New Roman"/>
          <w:sz w:val="24"/>
          <w:lang w:val="en-GB"/>
        </w:rPr>
        <w:t xml:space="preserve"> cover requirements for run-off portfolios without large amounts of extra capital.</w:t>
      </w:r>
      <w:bookmarkStart w:id="12" w:name="_Ref416273873"/>
      <w:r w:rsidR="007077D8" w:rsidRPr="001055B5">
        <w:rPr>
          <w:rStyle w:val="Funotenzeichen"/>
          <w:rFonts w:ascii="Times New Roman" w:hAnsi="Times New Roman"/>
          <w:sz w:val="24"/>
          <w:lang w:val="en-GB"/>
        </w:rPr>
        <w:footnoteReference w:id="34"/>
      </w:r>
      <w:bookmarkEnd w:id="12"/>
      <w:r w:rsidR="004049C4" w:rsidRPr="001055B5">
        <w:rPr>
          <w:rFonts w:ascii="Times New Roman" w:hAnsi="Times New Roman"/>
          <w:sz w:val="24"/>
          <w:lang w:val="en-GB"/>
        </w:rPr>
        <w:t xml:space="preserve"> </w:t>
      </w:r>
      <w:r w:rsidR="003B1A9B" w:rsidRPr="001055B5">
        <w:rPr>
          <w:rFonts w:ascii="Times New Roman" w:hAnsi="Times New Roman"/>
          <w:sz w:val="24"/>
          <w:lang w:val="en-GB"/>
        </w:rPr>
        <w:t>This will be changed by the new rules.</w:t>
      </w:r>
    </w:p>
    <w:p w:rsidR="00034FE0" w:rsidRPr="001055B5" w:rsidRDefault="00034FE0" w:rsidP="005B1DA4">
      <w:pPr>
        <w:pStyle w:val="Textkrper-Zeileneinzug"/>
        <w:spacing w:line="360" w:lineRule="auto"/>
        <w:ind w:firstLine="709"/>
        <w:jc w:val="both"/>
        <w:rPr>
          <w:rFonts w:ascii="Times New Roman" w:hAnsi="Times New Roman"/>
          <w:sz w:val="24"/>
          <w:lang w:val="en-GB"/>
        </w:rPr>
      </w:pPr>
      <w:r w:rsidRPr="001055B5">
        <w:rPr>
          <w:rFonts w:ascii="Times New Roman" w:hAnsi="Times New Roman"/>
          <w:sz w:val="24"/>
          <w:lang w:val="en-GB"/>
        </w:rPr>
        <w:t>Pursuant to Solvency II the available capital position of a company (</w:t>
      </w:r>
      <w:r w:rsidR="00C45389" w:rsidRPr="001055B5">
        <w:rPr>
          <w:rFonts w:ascii="Times New Roman" w:hAnsi="Times New Roman"/>
          <w:sz w:val="24"/>
          <w:lang w:val="en-GB"/>
        </w:rPr>
        <w:t>assets minus the market</w:t>
      </w:r>
      <w:r w:rsidR="00E864C7" w:rsidRPr="001055B5">
        <w:rPr>
          <w:rFonts w:ascii="Times New Roman" w:hAnsi="Times New Roman"/>
          <w:sz w:val="24"/>
          <w:lang w:val="en-GB"/>
        </w:rPr>
        <w:t xml:space="preserve"> consistent</w:t>
      </w:r>
      <w:r w:rsidR="00C45389" w:rsidRPr="001055B5">
        <w:rPr>
          <w:rFonts w:ascii="Times New Roman" w:hAnsi="Times New Roman"/>
          <w:sz w:val="24"/>
          <w:lang w:val="en-GB"/>
        </w:rPr>
        <w:t xml:space="preserve"> value of liabilities) is compared to the risks </w:t>
      </w:r>
      <w:r w:rsidR="00D54CC5">
        <w:rPr>
          <w:rFonts w:ascii="Times New Roman" w:hAnsi="Times New Roman"/>
          <w:sz w:val="24"/>
          <w:lang w:val="en-GB"/>
        </w:rPr>
        <w:t>of the policies it underwrites</w:t>
      </w:r>
      <w:r w:rsidR="00C45389" w:rsidRPr="001055B5">
        <w:rPr>
          <w:rFonts w:ascii="Times New Roman" w:hAnsi="Times New Roman"/>
          <w:sz w:val="24"/>
          <w:lang w:val="en-GB"/>
        </w:rPr>
        <w:t>. Those risks must be supported by a capital, the amount of which is quantified according to a separate formula</w:t>
      </w:r>
      <w:r w:rsidR="00273B83" w:rsidRPr="001055B5">
        <w:rPr>
          <w:rFonts w:ascii="Times New Roman" w:hAnsi="Times New Roman"/>
          <w:sz w:val="24"/>
          <w:lang w:val="en-GB"/>
        </w:rPr>
        <w:t xml:space="preserve"> for each kind of risk</w:t>
      </w:r>
      <w:r w:rsidR="00C45389" w:rsidRPr="001055B5">
        <w:rPr>
          <w:rFonts w:ascii="Times New Roman" w:hAnsi="Times New Roman"/>
          <w:sz w:val="24"/>
          <w:lang w:val="en-GB"/>
        </w:rPr>
        <w:t>.</w:t>
      </w:r>
      <w:r w:rsidR="00273B83" w:rsidRPr="001055B5">
        <w:rPr>
          <w:rStyle w:val="Funotenzeichen"/>
          <w:rFonts w:ascii="Times New Roman" w:hAnsi="Times New Roman"/>
          <w:sz w:val="24"/>
          <w:lang w:val="en-GB"/>
        </w:rPr>
        <w:footnoteReference w:id="35"/>
      </w:r>
      <w:r w:rsidR="00C45389" w:rsidRPr="001055B5">
        <w:rPr>
          <w:rFonts w:ascii="Times New Roman" w:hAnsi="Times New Roman"/>
          <w:sz w:val="24"/>
          <w:lang w:val="en-GB"/>
        </w:rPr>
        <w:t xml:space="preserve"> </w:t>
      </w:r>
    </w:p>
    <w:p w:rsidR="008A0689" w:rsidRPr="001055B5" w:rsidRDefault="00BE01F7" w:rsidP="005B1DA4">
      <w:pPr>
        <w:pStyle w:val="Textkrper-Zeileneinzug"/>
        <w:spacing w:line="360" w:lineRule="auto"/>
        <w:ind w:firstLine="709"/>
        <w:jc w:val="both"/>
        <w:rPr>
          <w:rFonts w:ascii="Times New Roman" w:hAnsi="Times New Roman"/>
          <w:sz w:val="24"/>
          <w:lang w:val="en-GB"/>
        </w:rPr>
      </w:pPr>
      <w:r w:rsidRPr="001055B5">
        <w:rPr>
          <w:rFonts w:ascii="Times New Roman" w:hAnsi="Times New Roman"/>
          <w:sz w:val="24"/>
          <w:lang w:val="en-GB"/>
        </w:rPr>
        <w:t xml:space="preserve">Solvency II is presumed to </w:t>
      </w:r>
      <w:r w:rsidR="00CC7E80" w:rsidRPr="001055B5">
        <w:rPr>
          <w:rFonts w:ascii="Times New Roman" w:hAnsi="Times New Roman"/>
          <w:sz w:val="24"/>
          <w:lang w:val="en-GB"/>
        </w:rPr>
        <w:t>require</w:t>
      </w:r>
      <w:r w:rsidRPr="001055B5">
        <w:rPr>
          <w:rFonts w:ascii="Times New Roman" w:hAnsi="Times New Roman"/>
          <w:sz w:val="24"/>
          <w:lang w:val="en-GB"/>
        </w:rPr>
        <w:t xml:space="preserve"> majority of insurers</w:t>
      </w:r>
      <w:r w:rsidR="00CC7E80" w:rsidRPr="001055B5">
        <w:rPr>
          <w:rFonts w:ascii="Times New Roman" w:hAnsi="Times New Roman"/>
          <w:sz w:val="24"/>
          <w:lang w:val="en-GB"/>
        </w:rPr>
        <w:t xml:space="preserve"> to hold more regulatory capital, and capital of a higher quality, </w:t>
      </w:r>
      <w:r w:rsidRPr="001055B5">
        <w:rPr>
          <w:rFonts w:ascii="Times New Roman" w:hAnsi="Times New Roman"/>
          <w:sz w:val="24"/>
          <w:lang w:val="en-GB"/>
        </w:rPr>
        <w:t>compared to</w:t>
      </w:r>
      <w:r w:rsidR="00CC7E80" w:rsidRPr="001055B5">
        <w:rPr>
          <w:rFonts w:ascii="Times New Roman" w:hAnsi="Times New Roman"/>
          <w:sz w:val="24"/>
          <w:lang w:val="en-GB"/>
        </w:rPr>
        <w:t xml:space="preserve"> Solvency I.</w:t>
      </w:r>
      <w:r w:rsidRPr="001055B5">
        <w:rPr>
          <w:rFonts w:ascii="Times New Roman" w:hAnsi="Times New Roman"/>
          <w:sz w:val="24"/>
          <w:lang w:val="en-GB"/>
        </w:rPr>
        <w:t xml:space="preserve"> While there is no definitive answer, </w:t>
      </w:r>
      <w:r w:rsidR="00841CB8" w:rsidRPr="001055B5">
        <w:rPr>
          <w:rFonts w:ascii="Times New Roman" w:hAnsi="Times New Roman"/>
          <w:sz w:val="24"/>
          <w:lang w:val="en-GB"/>
        </w:rPr>
        <w:t xml:space="preserve">a </w:t>
      </w:r>
      <w:r w:rsidR="00B917F2">
        <w:rPr>
          <w:rFonts w:ascii="Times New Roman" w:hAnsi="Times New Roman"/>
          <w:sz w:val="24"/>
          <w:lang w:val="en-GB"/>
        </w:rPr>
        <w:t>couple of rec</w:t>
      </w:r>
      <w:r w:rsidR="004F5A98" w:rsidRPr="001055B5">
        <w:rPr>
          <w:rFonts w:ascii="Times New Roman" w:hAnsi="Times New Roman"/>
          <w:sz w:val="24"/>
          <w:lang w:val="en-GB"/>
        </w:rPr>
        <w:t>ent</w:t>
      </w:r>
      <w:r w:rsidR="00841CB8" w:rsidRPr="001055B5">
        <w:rPr>
          <w:rFonts w:ascii="Times New Roman" w:hAnsi="Times New Roman"/>
          <w:sz w:val="24"/>
          <w:lang w:val="en-GB"/>
        </w:rPr>
        <w:t xml:space="preserve"> studies</w:t>
      </w:r>
      <w:r w:rsidRPr="001055B5">
        <w:rPr>
          <w:rFonts w:ascii="Times New Roman" w:hAnsi="Times New Roman"/>
          <w:sz w:val="24"/>
          <w:lang w:val="en-GB"/>
        </w:rPr>
        <w:t xml:space="preserve"> support </w:t>
      </w:r>
      <w:r w:rsidR="00597BD1" w:rsidRPr="001055B5">
        <w:rPr>
          <w:rFonts w:ascii="Times New Roman" w:hAnsi="Times New Roman"/>
          <w:sz w:val="24"/>
          <w:lang w:val="en-GB"/>
        </w:rPr>
        <w:t>this</w:t>
      </w:r>
      <w:r w:rsidRPr="001055B5">
        <w:rPr>
          <w:rFonts w:ascii="Times New Roman" w:hAnsi="Times New Roman"/>
          <w:sz w:val="24"/>
          <w:lang w:val="en-GB"/>
        </w:rPr>
        <w:t xml:space="preserve"> </w:t>
      </w:r>
      <w:r w:rsidR="00AA0E15" w:rsidRPr="001055B5">
        <w:rPr>
          <w:rFonts w:ascii="Times New Roman" w:hAnsi="Times New Roman"/>
          <w:sz w:val="24"/>
          <w:lang w:val="en-GB"/>
        </w:rPr>
        <w:t>assumption</w:t>
      </w:r>
      <w:r w:rsidR="00841CB8" w:rsidRPr="001055B5">
        <w:rPr>
          <w:rFonts w:ascii="Times New Roman" w:hAnsi="Times New Roman"/>
          <w:sz w:val="24"/>
          <w:lang w:val="en-GB"/>
        </w:rPr>
        <w:t xml:space="preserve">. </w:t>
      </w:r>
      <w:r w:rsidR="004F5A98" w:rsidRPr="001055B5">
        <w:rPr>
          <w:rFonts w:ascii="Times New Roman" w:hAnsi="Times New Roman"/>
          <w:sz w:val="24"/>
          <w:lang w:val="en-GB"/>
        </w:rPr>
        <w:t>For instance</w:t>
      </w:r>
      <w:r w:rsidR="00841CB8" w:rsidRPr="001055B5">
        <w:rPr>
          <w:rFonts w:ascii="Times New Roman" w:hAnsi="Times New Roman"/>
          <w:sz w:val="24"/>
          <w:lang w:val="en-GB"/>
        </w:rPr>
        <w:t xml:space="preserve">, Gurenko and Itigin, using a </w:t>
      </w:r>
      <w:r w:rsidR="004F5A98" w:rsidRPr="001055B5">
        <w:rPr>
          <w:rFonts w:ascii="Times New Roman" w:hAnsi="Times New Roman"/>
          <w:sz w:val="24"/>
          <w:lang w:val="en-GB"/>
        </w:rPr>
        <w:t>sample</w:t>
      </w:r>
      <w:r w:rsidR="00841CB8" w:rsidRPr="001055B5">
        <w:rPr>
          <w:rFonts w:ascii="Times New Roman" w:hAnsi="Times New Roman"/>
          <w:sz w:val="24"/>
          <w:lang w:val="en-GB"/>
        </w:rPr>
        <w:t xml:space="preserve"> portfolio </w:t>
      </w:r>
      <w:r w:rsidR="005A0B11" w:rsidRPr="001055B5">
        <w:rPr>
          <w:rFonts w:ascii="Times New Roman" w:hAnsi="Times New Roman"/>
          <w:sz w:val="24"/>
          <w:lang w:val="en-GB"/>
        </w:rPr>
        <w:t xml:space="preserve">with five lines of business </w:t>
      </w:r>
      <w:r w:rsidR="00450B40" w:rsidRPr="001055B5">
        <w:rPr>
          <w:rFonts w:ascii="Times New Roman" w:hAnsi="Times New Roman"/>
          <w:sz w:val="24"/>
          <w:lang w:val="en-GB"/>
        </w:rPr>
        <w:t xml:space="preserve">and disregarding </w:t>
      </w:r>
      <w:r w:rsidR="005A0B11" w:rsidRPr="001055B5">
        <w:rPr>
          <w:rFonts w:ascii="Times New Roman" w:hAnsi="Times New Roman"/>
          <w:sz w:val="24"/>
          <w:lang w:val="en-GB"/>
        </w:rPr>
        <w:t>market, operational and default risks</w:t>
      </w:r>
      <w:r w:rsidR="00450B40" w:rsidRPr="001055B5">
        <w:rPr>
          <w:rFonts w:ascii="Times New Roman" w:hAnsi="Times New Roman"/>
          <w:sz w:val="24"/>
          <w:lang w:val="en-GB"/>
        </w:rPr>
        <w:t>, estimate that the new capital requirements will be approximately 40% higher than the current ones.</w:t>
      </w:r>
      <w:r w:rsidR="00450B40" w:rsidRPr="001055B5">
        <w:rPr>
          <w:rStyle w:val="Funotenzeichen"/>
          <w:rFonts w:ascii="Times New Roman" w:hAnsi="Times New Roman"/>
          <w:sz w:val="24"/>
          <w:lang w:val="en-GB"/>
        </w:rPr>
        <w:footnoteReference w:id="36"/>
      </w:r>
      <w:r w:rsidR="00450B40" w:rsidRPr="001055B5">
        <w:rPr>
          <w:rFonts w:ascii="Times New Roman" w:hAnsi="Times New Roman"/>
          <w:sz w:val="24"/>
          <w:lang w:val="en-GB"/>
        </w:rPr>
        <w:t xml:space="preserve"> On the other hand, Eling and Pankoke use an example of a company with three lines of business </w:t>
      </w:r>
      <w:r w:rsidR="0010236C" w:rsidRPr="001055B5">
        <w:rPr>
          <w:rFonts w:ascii="Times New Roman" w:hAnsi="Times New Roman"/>
          <w:sz w:val="24"/>
          <w:lang w:val="en-GB"/>
        </w:rPr>
        <w:t>to estimate SCR for non-life premium and reserve risk.</w:t>
      </w:r>
      <w:r w:rsidR="00392DC4" w:rsidRPr="001055B5">
        <w:rPr>
          <w:rStyle w:val="Funotenzeichen"/>
          <w:rFonts w:ascii="Times New Roman" w:hAnsi="Times New Roman"/>
          <w:sz w:val="24"/>
          <w:lang w:val="en-GB"/>
        </w:rPr>
        <w:footnoteReference w:id="37"/>
      </w:r>
      <w:r w:rsidR="00392DC4" w:rsidRPr="001055B5">
        <w:rPr>
          <w:rFonts w:ascii="Times New Roman" w:hAnsi="Times New Roman"/>
          <w:sz w:val="24"/>
          <w:lang w:val="en-GB"/>
        </w:rPr>
        <w:t xml:space="preserve"> According to their calculations a company with a premium income of EUR 1 000</w:t>
      </w:r>
      <w:r w:rsidR="00450B40" w:rsidRPr="001055B5">
        <w:rPr>
          <w:rFonts w:ascii="Times New Roman" w:hAnsi="Times New Roman"/>
          <w:sz w:val="24"/>
          <w:lang w:val="en-GB"/>
        </w:rPr>
        <w:t xml:space="preserve"> </w:t>
      </w:r>
      <w:r w:rsidR="00392DC4" w:rsidRPr="001055B5">
        <w:rPr>
          <w:rFonts w:ascii="Times New Roman" w:hAnsi="Times New Roman"/>
          <w:sz w:val="24"/>
          <w:lang w:val="en-GB"/>
        </w:rPr>
        <w:t>and</w:t>
      </w:r>
      <w:r w:rsidR="005726DF">
        <w:rPr>
          <w:rFonts w:ascii="Times New Roman" w:hAnsi="Times New Roman"/>
          <w:sz w:val="24"/>
          <w:lang w:val="en-GB"/>
        </w:rPr>
        <w:t xml:space="preserve"> </w:t>
      </w:r>
      <w:r w:rsidR="005726DF" w:rsidRPr="001055B5">
        <w:rPr>
          <w:rFonts w:ascii="Times New Roman" w:hAnsi="Times New Roman"/>
          <w:sz w:val="24"/>
          <w:lang w:val="en-GB"/>
        </w:rPr>
        <w:t>reserves</w:t>
      </w:r>
      <w:r w:rsidR="005726DF">
        <w:rPr>
          <w:rFonts w:ascii="Times New Roman" w:hAnsi="Times New Roman"/>
          <w:sz w:val="24"/>
          <w:lang w:val="en-GB"/>
        </w:rPr>
        <w:t xml:space="preserve"> of</w:t>
      </w:r>
      <w:r w:rsidR="00392DC4" w:rsidRPr="001055B5">
        <w:rPr>
          <w:rFonts w:ascii="Times New Roman" w:hAnsi="Times New Roman"/>
          <w:sz w:val="24"/>
          <w:lang w:val="en-GB"/>
        </w:rPr>
        <w:t xml:space="preserve"> EUR 2 000 will have SCR of EUR 1</w:t>
      </w:r>
      <w:r w:rsidR="001628D2" w:rsidRPr="001055B5">
        <w:rPr>
          <w:rFonts w:ascii="Times New Roman" w:hAnsi="Times New Roman"/>
          <w:sz w:val="24"/>
          <w:lang w:val="en-GB"/>
        </w:rPr>
        <w:t> </w:t>
      </w:r>
      <w:r w:rsidR="00392DC4" w:rsidRPr="001055B5">
        <w:rPr>
          <w:rFonts w:ascii="Times New Roman" w:hAnsi="Times New Roman"/>
          <w:sz w:val="24"/>
          <w:lang w:val="en-GB"/>
        </w:rPr>
        <w:t>565</w:t>
      </w:r>
      <w:r w:rsidR="001628D2" w:rsidRPr="001055B5">
        <w:rPr>
          <w:rFonts w:ascii="Times New Roman" w:hAnsi="Times New Roman"/>
          <w:sz w:val="24"/>
          <w:lang w:val="en-GB"/>
        </w:rPr>
        <w:t xml:space="preserve">. Under Solvency I the same company would have </w:t>
      </w:r>
      <w:r w:rsidR="00EA2816" w:rsidRPr="001055B5">
        <w:rPr>
          <w:rFonts w:ascii="Times New Roman" w:hAnsi="Times New Roman"/>
          <w:sz w:val="24"/>
          <w:lang w:val="en-GB"/>
        </w:rPr>
        <w:t xml:space="preserve">had </w:t>
      </w:r>
      <w:r w:rsidR="001628D2" w:rsidRPr="001055B5">
        <w:rPr>
          <w:rFonts w:ascii="Times New Roman" w:hAnsi="Times New Roman"/>
          <w:sz w:val="24"/>
          <w:lang w:val="en-GB"/>
        </w:rPr>
        <w:t>SCR of EUR 321. However, it should be noted that their study did not take into account the effects of diversification and reinsurance</w:t>
      </w:r>
      <w:r w:rsidR="00D207DF" w:rsidRPr="001055B5">
        <w:rPr>
          <w:rFonts w:ascii="Times New Roman" w:hAnsi="Times New Roman"/>
          <w:sz w:val="24"/>
          <w:lang w:val="en-GB"/>
        </w:rPr>
        <w:t>,</w:t>
      </w:r>
      <w:r w:rsidR="001628D2" w:rsidRPr="001055B5">
        <w:rPr>
          <w:rFonts w:ascii="Times New Roman" w:hAnsi="Times New Roman"/>
          <w:sz w:val="24"/>
          <w:lang w:val="en-GB"/>
        </w:rPr>
        <w:t xml:space="preserve"> which would result in lower capital requirements. </w:t>
      </w:r>
    </w:p>
    <w:p w:rsidR="00841CB8" w:rsidRPr="001055B5" w:rsidRDefault="008A0689" w:rsidP="008A0689">
      <w:pPr>
        <w:pStyle w:val="Textkrper-Zeileneinzug"/>
        <w:spacing w:line="360" w:lineRule="auto"/>
        <w:ind w:firstLine="709"/>
        <w:jc w:val="both"/>
        <w:rPr>
          <w:rFonts w:ascii="Times New Roman" w:hAnsi="Times New Roman"/>
          <w:sz w:val="24"/>
          <w:lang w:val="en-GB"/>
        </w:rPr>
      </w:pPr>
      <w:r w:rsidRPr="001055B5">
        <w:rPr>
          <w:rFonts w:ascii="Times New Roman" w:hAnsi="Times New Roman"/>
          <w:sz w:val="24"/>
          <w:lang w:val="en-GB"/>
        </w:rPr>
        <w:t xml:space="preserve">Although there is definitely a need for more empirical studies of the issue, a certain indication of higher capital requirements is nonetheless present. It is safe to assume that ultimately </w:t>
      </w:r>
      <w:r w:rsidR="001628D2" w:rsidRPr="001055B5">
        <w:rPr>
          <w:rFonts w:ascii="Times New Roman" w:hAnsi="Times New Roman"/>
          <w:sz w:val="24"/>
          <w:lang w:val="en-GB"/>
        </w:rPr>
        <w:t xml:space="preserve">the level of the increase will depend on </w:t>
      </w:r>
      <w:r w:rsidR="004E5856" w:rsidRPr="001055B5">
        <w:rPr>
          <w:rFonts w:ascii="Times New Roman" w:hAnsi="Times New Roman"/>
          <w:sz w:val="24"/>
          <w:lang w:val="en-GB"/>
        </w:rPr>
        <w:t xml:space="preserve">the </w:t>
      </w:r>
      <w:r w:rsidRPr="001055B5">
        <w:rPr>
          <w:rFonts w:ascii="Times New Roman" w:hAnsi="Times New Roman"/>
          <w:sz w:val="24"/>
          <w:lang w:val="en-GB"/>
        </w:rPr>
        <w:t xml:space="preserve">particular </w:t>
      </w:r>
      <w:r w:rsidR="001628D2" w:rsidRPr="001055B5">
        <w:rPr>
          <w:rFonts w:ascii="Times New Roman" w:hAnsi="Times New Roman"/>
          <w:sz w:val="24"/>
          <w:lang w:val="en-GB"/>
        </w:rPr>
        <w:t xml:space="preserve">characteristics of each company’s </w:t>
      </w:r>
      <w:r w:rsidR="00D207DF" w:rsidRPr="001055B5">
        <w:rPr>
          <w:rFonts w:ascii="Times New Roman" w:hAnsi="Times New Roman"/>
          <w:sz w:val="24"/>
          <w:lang w:val="en-GB"/>
        </w:rPr>
        <w:t>business</w:t>
      </w:r>
      <w:r w:rsidR="001628D2" w:rsidRPr="001055B5">
        <w:rPr>
          <w:rFonts w:ascii="Times New Roman" w:hAnsi="Times New Roman"/>
          <w:sz w:val="24"/>
          <w:lang w:val="en-GB"/>
        </w:rPr>
        <w:t xml:space="preserve">. </w:t>
      </w:r>
    </w:p>
    <w:p w:rsidR="008A0689" w:rsidRPr="001055B5" w:rsidRDefault="008A0689" w:rsidP="005B1DA4">
      <w:pPr>
        <w:pStyle w:val="Textkrper-Zeileneinzug"/>
        <w:spacing w:line="360" w:lineRule="auto"/>
        <w:ind w:firstLine="709"/>
        <w:jc w:val="both"/>
        <w:rPr>
          <w:rFonts w:ascii="Times New Roman" w:hAnsi="Times New Roman"/>
          <w:sz w:val="24"/>
          <w:lang w:val="en-GB"/>
        </w:rPr>
      </w:pPr>
      <w:r w:rsidRPr="001055B5">
        <w:rPr>
          <w:rFonts w:ascii="Times New Roman" w:hAnsi="Times New Roman"/>
          <w:sz w:val="24"/>
          <w:lang w:val="en-GB"/>
        </w:rPr>
        <w:t xml:space="preserve">A logical step for the firms facing an increase in their capital charge would be </w:t>
      </w:r>
      <w:r w:rsidR="00EF25E2" w:rsidRPr="001055B5">
        <w:rPr>
          <w:rFonts w:ascii="Times New Roman" w:hAnsi="Times New Roman"/>
          <w:sz w:val="24"/>
          <w:lang w:val="en-GB"/>
        </w:rPr>
        <w:t>to reassess their ongoing insurance business and</w:t>
      </w:r>
      <w:r w:rsidRPr="001055B5">
        <w:rPr>
          <w:rFonts w:ascii="Times New Roman" w:hAnsi="Times New Roman"/>
          <w:sz w:val="24"/>
          <w:lang w:val="en-GB"/>
        </w:rPr>
        <w:t xml:space="preserve"> transfer </w:t>
      </w:r>
      <w:r w:rsidR="00EF25E2" w:rsidRPr="001055B5">
        <w:rPr>
          <w:rFonts w:ascii="Times New Roman" w:hAnsi="Times New Roman"/>
          <w:sz w:val="24"/>
          <w:lang w:val="en-GB"/>
        </w:rPr>
        <w:t xml:space="preserve">the lines with low profit </w:t>
      </w:r>
      <w:r w:rsidRPr="001055B5">
        <w:rPr>
          <w:rFonts w:ascii="Times New Roman" w:hAnsi="Times New Roman"/>
          <w:sz w:val="24"/>
          <w:lang w:val="en-GB"/>
        </w:rPr>
        <w:t>or put</w:t>
      </w:r>
      <w:r w:rsidR="00FC69B0">
        <w:rPr>
          <w:rFonts w:ascii="Times New Roman" w:hAnsi="Times New Roman"/>
          <w:sz w:val="24"/>
          <w:lang w:val="en-GB"/>
        </w:rPr>
        <w:t xml:space="preserve"> them</w:t>
      </w:r>
      <w:r w:rsidRPr="001055B5">
        <w:rPr>
          <w:rFonts w:ascii="Times New Roman" w:hAnsi="Times New Roman"/>
          <w:sz w:val="24"/>
          <w:lang w:val="en-GB"/>
        </w:rPr>
        <w:t xml:space="preserve"> into run-off</w:t>
      </w:r>
      <w:r w:rsidR="00EF25E2" w:rsidRPr="001055B5">
        <w:rPr>
          <w:rFonts w:ascii="Times New Roman" w:hAnsi="Times New Roman"/>
          <w:sz w:val="24"/>
          <w:lang w:val="en-GB"/>
        </w:rPr>
        <w:t>.</w:t>
      </w:r>
      <w:r w:rsidR="00891427" w:rsidRPr="001055B5">
        <w:rPr>
          <w:rFonts w:ascii="Times New Roman" w:hAnsi="Times New Roman"/>
          <w:sz w:val="24"/>
          <w:lang w:val="en-GB"/>
        </w:rPr>
        <w:t xml:space="preserve"> </w:t>
      </w:r>
      <w:r w:rsidRPr="001055B5">
        <w:rPr>
          <w:rFonts w:ascii="Times New Roman" w:hAnsi="Times New Roman"/>
          <w:sz w:val="24"/>
          <w:lang w:val="en-GB"/>
        </w:rPr>
        <w:t>An indication of that is the feedback from the industry naming</w:t>
      </w:r>
      <w:r w:rsidR="00891427" w:rsidRPr="001055B5">
        <w:rPr>
          <w:rFonts w:ascii="Times New Roman" w:hAnsi="Times New Roman"/>
          <w:sz w:val="24"/>
          <w:lang w:val="en-GB"/>
        </w:rPr>
        <w:t xml:space="preserve"> Solvency II to be one of the most important drivers for restructuring in Continental Europe in the next five years.</w:t>
      </w:r>
      <w:r w:rsidR="00891427" w:rsidRPr="001055B5">
        <w:rPr>
          <w:rStyle w:val="Funotenzeichen"/>
          <w:rFonts w:ascii="Times New Roman" w:hAnsi="Times New Roman"/>
          <w:sz w:val="24"/>
          <w:lang w:val="en-GB"/>
        </w:rPr>
        <w:footnoteReference w:id="38"/>
      </w:r>
      <w:r w:rsidR="00891427" w:rsidRPr="001055B5">
        <w:rPr>
          <w:rFonts w:ascii="Times New Roman" w:hAnsi="Times New Roman"/>
          <w:sz w:val="24"/>
          <w:lang w:val="en-GB"/>
        </w:rPr>
        <w:t xml:space="preserve"> </w:t>
      </w:r>
      <w:r w:rsidR="00EF25E2" w:rsidRPr="001055B5">
        <w:rPr>
          <w:rFonts w:ascii="Times New Roman" w:hAnsi="Times New Roman"/>
          <w:sz w:val="24"/>
          <w:lang w:val="en-GB"/>
        </w:rPr>
        <w:t xml:space="preserve"> However</w:t>
      </w:r>
      <w:r w:rsidR="009771A7" w:rsidRPr="001055B5">
        <w:rPr>
          <w:rFonts w:ascii="Times New Roman" w:hAnsi="Times New Roman"/>
          <w:sz w:val="24"/>
          <w:lang w:val="en-GB"/>
        </w:rPr>
        <w:t>,</w:t>
      </w:r>
      <w:r w:rsidRPr="001055B5">
        <w:rPr>
          <w:rFonts w:ascii="Times New Roman" w:hAnsi="Times New Roman"/>
          <w:sz w:val="24"/>
          <w:lang w:val="en-GB"/>
        </w:rPr>
        <w:t xml:space="preserve"> for </w:t>
      </w:r>
      <w:r w:rsidRPr="001055B5">
        <w:rPr>
          <w:rFonts w:ascii="Times New Roman" w:hAnsi="Times New Roman"/>
          <w:sz w:val="24"/>
          <w:lang w:val="en-GB"/>
        </w:rPr>
        <w:lastRenderedPageBreak/>
        <w:t xml:space="preserve">the companies discontinuing </w:t>
      </w:r>
      <w:r w:rsidR="00D673F0" w:rsidRPr="001055B5">
        <w:rPr>
          <w:rFonts w:ascii="Times New Roman" w:hAnsi="Times New Roman"/>
          <w:sz w:val="24"/>
          <w:lang w:val="en-GB"/>
        </w:rPr>
        <w:t>certain lines of the</w:t>
      </w:r>
      <w:r w:rsidR="00286656">
        <w:rPr>
          <w:rFonts w:ascii="Times New Roman" w:hAnsi="Times New Roman"/>
          <w:sz w:val="24"/>
          <w:lang w:val="en-GB"/>
        </w:rPr>
        <w:t>ir</w:t>
      </w:r>
      <w:r w:rsidR="00D673F0" w:rsidRPr="001055B5">
        <w:rPr>
          <w:rFonts w:ascii="Times New Roman" w:hAnsi="Times New Roman"/>
          <w:sz w:val="24"/>
          <w:lang w:val="en-GB"/>
        </w:rPr>
        <w:t xml:space="preserve"> insurance business, passive run-off </w:t>
      </w:r>
      <w:r w:rsidR="00222811">
        <w:rPr>
          <w:rFonts w:ascii="Times New Roman" w:hAnsi="Times New Roman"/>
          <w:sz w:val="24"/>
          <w:lang w:val="en-GB"/>
        </w:rPr>
        <w:t>may</w:t>
      </w:r>
      <w:r w:rsidR="00D673F0" w:rsidRPr="001055B5">
        <w:rPr>
          <w:rFonts w:ascii="Times New Roman" w:hAnsi="Times New Roman"/>
          <w:sz w:val="24"/>
          <w:lang w:val="en-GB"/>
        </w:rPr>
        <w:t xml:space="preserve"> not be a </w:t>
      </w:r>
      <w:r w:rsidR="00A6533A">
        <w:rPr>
          <w:rFonts w:ascii="Times New Roman" w:hAnsi="Times New Roman"/>
          <w:sz w:val="24"/>
          <w:lang w:val="en-GB"/>
        </w:rPr>
        <w:t>suitable</w:t>
      </w:r>
      <w:r w:rsidR="00D673F0" w:rsidRPr="001055B5">
        <w:rPr>
          <w:rFonts w:ascii="Times New Roman" w:hAnsi="Times New Roman"/>
          <w:sz w:val="24"/>
          <w:lang w:val="en-GB"/>
        </w:rPr>
        <w:t xml:space="preserve"> option since having discontinued business on a balance sheet is likely to attract </w:t>
      </w:r>
      <w:r w:rsidR="00CF7C90">
        <w:rPr>
          <w:rFonts w:ascii="Times New Roman" w:hAnsi="Times New Roman"/>
          <w:sz w:val="24"/>
          <w:lang w:val="en-GB"/>
        </w:rPr>
        <w:t xml:space="preserve">a </w:t>
      </w:r>
      <w:r w:rsidR="00D673F0" w:rsidRPr="001055B5">
        <w:rPr>
          <w:rFonts w:ascii="Times New Roman" w:hAnsi="Times New Roman"/>
          <w:sz w:val="24"/>
          <w:lang w:val="en-GB"/>
        </w:rPr>
        <w:t xml:space="preserve">disproportionate capital charge. </w:t>
      </w:r>
    </w:p>
    <w:p w:rsidR="00EF25E2" w:rsidRPr="001055B5" w:rsidRDefault="00C431EC" w:rsidP="005B1DA4">
      <w:pPr>
        <w:pStyle w:val="Textkrper-Zeileneinzug"/>
        <w:spacing w:line="360" w:lineRule="auto"/>
        <w:ind w:firstLine="709"/>
        <w:jc w:val="both"/>
        <w:rPr>
          <w:rFonts w:ascii="Times New Roman" w:hAnsi="Times New Roman"/>
          <w:sz w:val="24"/>
          <w:lang w:val="en-GB"/>
        </w:rPr>
      </w:pPr>
      <w:r w:rsidRPr="001055B5">
        <w:rPr>
          <w:rFonts w:ascii="Times New Roman" w:hAnsi="Times New Roman"/>
          <w:sz w:val="24"/>
          <w:lang w:val="en-GB"/>
        </w:rPr>
        <w:t xml:space="preserve">If a company discontinues certain lines of business but </w:t>
      </w:r>
      <w:r w:rsidR="00396E72" w:rsidRPr="001055B5">
        <w:rPr>
          <w:rFonts w:ascii="Times New Roman" w:hAnsi="Times New Roman"/>
          <w:sz w:val="24"/>
          <w:lang w:val="en-GB"/>
        </w:rPr>
        <w:t>still</w:t>
      </w:r>
      <w:r w:rsidRPr="001055B5">
        <w:rPr>
          <w:rFonts w:ascii="Times New Roman" w:hAnsi="Times New Roman"/>
          <w:sz w:val="24"/>
          <w:lang w:val="en-GB"/>
        </w:rPr>
        <w:t xml:space="preserve"> </w:t>
      </w:r>
      <w:r w:rsidR="00396E72" w:rsidRPr="001055B5">
        <w:rPr>
          <w:rFonts w:ascii="Times New Roman" w:hAnsi="Times New Roman"/>
          <w:sz w:val="24"/>
          <w:lang w:val="en-GB"/>
        </w:rPr>
        <w:t>keeps</w:t>
      </w:r>
      <w:r w:rsidRPr="001055B5">
        <w:rPr>
          <w:rFonts w:ascii="Times New Roman" w:hAnsi="Times New Roman"/>
          <w:sz w:val="24"/>
          <w:lang w:val="en-GB"/>
        </w:rPr>
        <w:t xml:space="preserve"> them on </w:t>
      </w:r>
      <w:r w:rsidR="00A6533A">
        <w:rPr>
          <w:rFonts w:ascii="Times New Roman" w:hAnsi="Times New Roman"/>
          <w:sz w:val="24"/>
          <w:lang w:val="en-GB"/>
        </w:rPr>
        <w:t>the</w:t>
      </w:r>
      <w:r w:rsidRPr="001055B5">
        <w:rPr>
          <w:rFonts w:ascii="Times New Roman" w:hAnsi="Times New Roman"/>
          <w:sz w:val="24"/>
          <w:lang w:val="en-GB"/>
        </w:rPr>
        <w:t xml:space="preserve"> balance sheet</w:t>
      </w:r>
      <w:r w:rsidR="00396E72" w:rsidRPr="001055B5">
        <w:rPr>
          <w:rFonts w:ascii="Times New Roman" w:hAnsi="Times New Roman"/>
          <w:sz w:val="24"/>
          <w:lang w:val="en-GB"/>
        </w:rPr>
        <w:t>, it has to back those run-off liabilities, as any other liabilities, with sufficient capital. However in case of run-off this does not generate any respective benefits since the amount of premiums received is much lower or even non-existent compared to live business. Additionally</w:t>
      </w:r>
      <w:r w:rsidR="00E60593">
        <w:rPr>
          <w:rFonts w:ascii="Times New Roman" w:hAnsi="Times New Roman"/>
          <w:sz w:val="24"/>
          <w:lang w:val="en-GB"/>
        </w:rPr>
        <w:t>,</w:t>
      </w:r>
      <w:r w:rsidR="00396E72" w:rsidRPr="001055B5">
        <w:rPr>
          <w:rFonts w:ascii="Times New Roman" w:hAnsi="Times New Roman"/>
          <w:sz w:val="24"/>
          <w:lang w:val="en-GB"/>
        </w:rPr>
        <w:t xml:space="preserve"> according to the risk-based model</w:t>
      </w:r>
      <w:r w:rsidR="00E60593">
        <w:rPr>
          <w:rFonts w:ascii="Times New Roman" w:hAnsi="Times New Roman"/>
          <w:sz w:val="24"/>
          <w:lang w:val="en-GB"/>
        </w:rPr>
        <w:t>,</w:t>
      </w:r>
      <w:r w:rsidR="00396E72" w:rsidRPr="001055B5">
        <w:rPr>
          <w:rFonts w:ascii="Times New Roman" w:hAnsi="Times New Roman"/>
          <w:sz w:val="24"/>
          <w:lang w:val="en-GB"/>
        </w:rPr>
        <w:t xml:space="preserve"> portfolio volatility, </w:t>
      </w:r>
      <w:r w:rsidR="009315D2" w:rsidRPr="001055B5">
        <w:rPr>
          <w:rFonts w:ascii="Times New Roman" w:hAnsi="Times New Roman"/>
          <w:sz w:val="24"/>
          <w:lang w:val="en-GB"/>
        </w:rPr>
        <w:t xml:space="preserve">large amount of </w:t>
      </w:r>
      <w:r w:rsidR="00396E72" w:rsidRPr="001055B5">
        <w:rPr>
          <w:rFonts w:ascii="Times New Roman" w:hAnsi="Times New Roman"/>
          <w:sz w:val="24"/>
          <w:lang w:val="en-GB"/>
        </w:rPr>
        <w:t>long-tail liabilities or poorly rated reinsurers</w:t>
      </w:r>
      <w:r w:rsidR="004D1BEF" w:rsidRPr="001055B5">
        <w:rPr>
          <w:rStyle w:val="Funotenzeichen"/>
          <w:rFonts w:ascii="Times New Roman" w:hAnsi="Times New Roman"/>
          <w:sz w:val="24"/>
          <w:lang w:val="en-GB"/>
        </w:rPr>
        <w:footnoteReference w:id="39"/>
      </w:r>
      <w:r w:rsidR="00396E72" w:rsidRPr="001055B5">
        <w:rPr>
          <w:rFonts w:ascii="Times New Roman" w:hAnsi="Times New Roman"/>
          <w:sz w:val="24"/>
          <w:lang w:val="en-GB"/>
        </w:rPr>
        <w:t xml:space="preserve"> increase capital charge even further. </w:t>
      </w:r>
      <w:r w:rsidR="00990985">
        <w:rPr>
          <w:rFonts w:ascii="Times New Roman" w:hAnsi="Times New Roman"/>
          <w:sz w:val="24"/>
          <w:lang w:val="en-GB"/>
        </w:rPr>
        <w:t>Regard</w:t>
      </w:r>
      <w:r w:rsidR="007D1EA2">
        <w:rPr>
          <w:rFonts w:ascii="Times New Roman" w:hAnsi="Times New Roman"/>
          <w:sz w:val="24"/>
          <w:lang w:val="en-GB"/>
        </w:rPr>
        <w:t>ing</w:t>
      </w:r>
      <w:r w:rsidR="00396E72" w:rsidRPr="001055B5">
        <w:rPr>
          <w:rFonts w:ascii="Times New Roman" w:hAnsi="Times New Roman"/>
          <w:sz w:val="24"/>
          <w:lang w:val="en-GB"/>
        </w:rPr>
        <w:t xml:space="preserve"> </w:t>
      </w:r>
      <w:r w:rsidR="00513EEB">
        <w:rPr>
          <w:rFonts w:ascii="Times New Roman" w:hAnsi="Times New Roman"/>
          <w:sz w:val="24"/>
          <w:lang w:val="en-GB"/>
        </w:rPr>
        <w:t xml:space="preserve">a </w:t>
      </w:r>
      <w:r w:rsidR="00396E72" w:rsidRPr="001055B5">
        <w:rPr>
          <w:rFonts w:ascii="Times New Roman" w:hAnsi="Times New Roman"/>
          <w:sz w:val="24"/>
          <w:lang w:val="en-GB"/>
        </w:rPr>
        <w:t>run-off portfolio</w:t>
      </w:r>
      <w:r w:rsidR="00EB3B3E">
        <w:rPr>
          <w:rFonts w:ascii="Times New Roman" w:hAnsi="Times New Roman"/>
          <w:sz w:val="24"/>
          <w:lang w:val="en-GB"/>
        </w:rPr>
        <w:t>,</w:t>
      </w:r>
      <w:r w:rsidR="00396E72" w:rsidRPr="001055B5">
        <w:rPr>
          <w:rFonts w:ascii="Times New Roman" w:hAnsi="Times New Roman"/>
          <w:sz w:val="24"/>
          <w:lang w:val="en-GB"/>
        </w:rPr>
        <w:t xml:space="preserve"> its charge may get extremely disproportionate tying up large amounts of capital which could otherwise </w:t>
      </w:r>
      <w:r w:rsidR="00894130" w:rsidRPr="001055B5">
        <w:rPr>
          <w:rFonts w:ascii="Times New Roman" w:hAnsi="Times New Roman"/>
          <w:sz w:val="24"/>
          <w:lang w:val="en-GB"/>
        </w:rPr>
        <w:t xml:space="preserve">be </w:t>
      </w:r>
      <w:r w:rsidR="00396E72" w:rsidRPr="001055B5">
        <w:rPr>
          <w:rFonts w:ascii="Times New Roman" w:hAnsi="Times New Roman"/>
          <w:sz w:val="24"/>
          <w:lang w:val="en-GB"/>
        </w:rPr>
        <w:t>spe</w:t>
      </w:r>
      <w:r w:rsidR="00F35322">
        <w:rPr>
          <w:rFonts w:ascii="Times New Roman" w:hAnsi="Times New Roman"/>
          <w:sz w:val="24"/>
          <w:lang w:val="en-GB"/>
        </w:rPr>
        <w:t>nt on developing new businesses or improving the current ones</w:t>
      </w:r>
      <w:r w:rsidR="00396E72" w:rsidRPr="001055B5">
        <w:rPr>
          <w:rFonts w:ascii="Times New Roman" w:hAnsi="Times New Roman"/>
          <w:sz w:val="24"/>
          <w:lang w:val="en-GB"/>
        </w:rPr>
        <w:t xml:space="preserve">. </w:t>
      </w:r>
    </w:p>
    <w:p w:rsidR="007E7567" w:rsidRPr="001055B5" w:rsidRDefault="004D1BEF" w:rsidP="0067276A">
      <w:pPr>
        <w:pStyle w:val="Textkrper-Zeileneinzug"/>
        <w:spacing w:line="360" w:lineRule="auto"/>
        <w:ind w:firstLine="709"/>
        <w:jc w:val="both"/>
        <w:rPr>
          <w:rFonts w:ascii="Times New Roman" w:hAnsi="Times New Roman"/>
          <w:sz w:val="24"/>
          <w:lang w:val="en-GB"/>
        </w:rPr>
      </w:pPr>
      <w:r w:rsidRPr="001055B5">
        <w:rPr>
          <w:rFonts w:ascii="Times New Roman" w:hAnsi="Times New Roman"/>
          <w:sz w:val="24"/>
          <w:lang w:val="en-GB"/>
        </w:rPr>
        <w:t xml:space="preserve">There are a number of practical examples proving this point. </w:t>
      </w:r>
      <w:r w:rsidR="00E63FF5" w:rsidRPr="001055B5">
        <w:rPr>
          <w:rFonts w:ascii="Times New Roman" w:hAnsi="Times New Roman"/>
          <w:sz w:val="24"/>
          <w:lang w:val="en-GB"/>
        </w:rPr>
        <w:t>Eling and Pankoke, as a part of their study mentioned above, show that the proportion of non-life run-off business is 23.3% of the total Solvency II capital requirement with the entire value of discontinued business alone almost equal the whole SCR under Solvency I.</w:t>
      </w:r>
      <w:r w:rsidR="00E63FF5" w:rsidRPr="001055B5">
        <w:rPr>
          <w:rStyle w:val="Funotenzeichen"/>
          <w:rFonts w:ascii="Times New Roman" w:hAnsi="Times New Roman"/>
          <w:sz w:val="24"/>
          <w:lang w:val="en-GB"/>
        </w:rPr>
        <w:footnoteReference w:id="40"/>
      </w:r>
      <w:r w:rsidR="00E63FF5" w:rsidRPr="001055B5">
        <w:rPr>
          <w:rFonts w:ascii="Times New Roman" w:hAnsi="Times New Roman"/>
          <w:sz w:val="24"/>
          <w:lang w:val="en-GB"/>
        </w:rPr>
        <w:t xml:space="preserve"> </w:t>
      </w:r>
      <w:r w:rsidR="00DE2A3B">
        <w:rPr>
          <w:rFonts w:ascii="Times New Roman" w:hAnsi="Times New Roman"/>
          <w:sz w:val="24"/>
          <w:lang w:val="en-GB"/>
        </w:rPr>
        <w:t>Furthermore o</w:t>
      </w:r>
      <w:r w:rsidR="001A3815" w:rsidRPr="001055B5">
        <w:rPr>
          <w:rFonts w:ascii="Times New Roman" w:hAnsi="Times New Roman"/>
          <w:sz w:val="24"/>
          <w:lang w:val="en-GB"/>
        </w:rPr>
        <w:t xml:space="preserve">ne company conducted its own assessment of capital requirements for run-off portfolio under </w:t>
      </w:r>
      <w:r w:rsidR="001C2F8B" w:rsidRPr="001055B5">
        <w:rPr>
          <w:rFonts w:ascii="Times New Roman" w:hAnsi="Times New Roman"/>
          <w:sz w:val="24"/>
          <w:lang w:val="en-GB"/>
        </w:rPr>
        <w:t xml:space="preserve">the </w:t>
      </w:r>
      <w:r w:rsidR="0067276A" w:rsidRPr="001055B5">
        <w:rPr>
          <w:rFonts w:ascii="Times New Roman" w:hAnsi="Times New Roman"/>
          <w:sz w:val="24"/>
          <w:lang w:val="en-GB"/>
        </w:rPr>
        <w:t xml:space="preserve">upcoming </w:t>
      </w:r>
      <w:r w:rsidR="001A3815" w:rsidRPr="001055B5">
        <w:rPr>
          <w:rFonts w:ascii="Times New Roman" w:hAnsi="Times New Roman"/>
          <w:sz w:val="24"/>
          <w:lang w:val="en-GB"/>
        </w:rPr>
        <w:t>rules. According to their calculation</w:t>
      </w:r>
      <w:r w:rsidR="001C2F8B" w:rsidRPr="001055B5">
        <w:rPr>
          <w:rFonts w:ascii="Times New Roman" w:hAnsi="Times New Roman"/>
          <w:sz w:val="24"/>
          <w:lang w:val="en-GB"/>
        </w:rPr>
        <w:t>s</w:t>
      </w:r>
      <w:r w:rsidR="001A3815" w:rsidRPr="001055B5">
        <w:rPr>
          <w:rFonts w:ascii="Times New Roman" w:hAnsi="Times New Roman"/>
          <w:sz w:val="24"/>
          <w:lang w:val="en-GB"/>
        </w:rPr>
        <w:t xml:space="preserve"> capital charge of a run-off portfolio under Solvency II could be ten times higher than under </w:t>
      </w:r>
      <w:r w:rsidR="0067276A" w:rsidRPr="001055B5">
        <w:rPr>
          <w:rFonts w:ascii="Times New Roman" w:hAnsi="Times New Roman"/>
          <w:sz w:val="24"/>
          <w:lang w:val="en-GB"/>
        </w:rPr>
        <w:t xml:space="preserve">the </w:t>
      </w:r>
      <w:r w:rsidR="001A3815" w:rsidRPr="001055B5">
        <w:rPr>
          <w:rFonts w:ascii="Times New Roman" w:hAnsi="Times New Roman"/>
          <w:sz w:val="24"/>
          <w:lang w:val="en-GB"/>
        </w:rPr>
        <w:t xml:space="preserve">current </w:t>
      </w:r>
      <w:r w:rsidR="0067276A" w:rsidRPr="001055B5">
        <w:rPr>
          <w:rFonts w:ascii="Times New Roman" w:hAnsi="Times New Roman"/>
          <w:sz w:val="24"/>
          <w:lang w:val="en-GB"/>
        </w:rPr>
        <w:t>regime</w:t>
      </w:r>
      <w:r w:rsidR="001A3815" w:rsidRPr="001055B5">
        <w:rPr>
          <w:rFonts w:ascii="Times New Roman" w:hAnsi="Times New Roman"/>
          <w:sz w:val="24"/>
          <w:lang w:val="en-GB"/>
        </w:rPr>
        <w:t>.</w:t>
      </w:r>
      <w:r w:rsidR="001A3815" w:rsidRPr="001055B5">
        <w:rPr>
          <w:rStyle w:val="Funotenzeichen"/>
          <w:rFonts w:ascii="Times New Roman" w:hAnsi="Times New Roman"/>
          <w:sz w:val="24"/>
          <w:lang w:val="en-GB"/>
        </w:rPr>
        <w:footnoteReference w:id="41"/>
      </w:r>
      <w:r w:rsidR="0080053F" w:rsidRPr="001055B5">
        <w:rPr>
          <w:rFonts w:ascii="Times New Roman" w:hAnsi="Times New Roman"/>
          <w:sz w:val="24"/>
          <w:lang w:val="en-GB"/>
        </w:rPr>
        <w:t xml:space="preserve"> The similar sentiment is expressed by other practitioner</w:t>
      </w:r>
      <w:r w:rsidR="00E63FF5" w:rsidRPr="001055B5">
        <w:rPr>
          <w:rFonts w:ascii="Times New Roman" w:hAnsi="Times New Roman"/>
          <w:sz w:val="24"/>
          <w:lang w:val="en-GB"/>
        </w:rPr>
        <w:t>s</w:t>
      </w:r>
      <w:r w:rsidR="0080053F" w:rsidRPr="001055B5">
        <w:rPr>
          <w:rStyle w:val="Funotenzeichen"/>
          <w:rFonts w:ascii="Times New Roman" w:hAnsi="Times New Roman"/>
          <w:sz w:val="24"/>
          <w:lang w:val="en-GB"/>
        </w:rPr>
        <w:footnoteReference w:id="42"/>
      </w:r>
      <w:r w:rsidR="00E63FF5" w:rsidRPr="001055B5">
        <w:rPr>
          <w:rFonts w:ascii="Times New Roman" w:hAnsi="Times New Roman"/>
          <w:sz w:val="24"/>
          <w:lang w:val="en-GB"/>
        </w:rPr>
        <w:t xml:space="preserve"> and the industry in general, where according to the most recent survey 57% of respondents (a 10% increase from the previous year) stated that Solvency II is likely to raise the cost of capital for run-off business.</w:t>
      </w:r>
      <w:r w:rsidR="00E63FF5" w:rsidRPr="001055B5">
        <w:rPr>
          <w:rStyle w:val="Funotenzeichen"/>
          <w:rFonts w:ascii="Times New Roman" w:hAnsi="Times New Roman"/>
          <w:sz w:val="24"/>
          <w:lang w:val="en-GB"/>
        </w:rPr>
        <w:footnoteReference w:id="43"/>
      </w:r>
      <w:r w:rsidR="00E63FF5" w:rsidRPr="001055B5">
        <w:rPr>
          <w:rFonts w:ascii="Times New Roman" w:hAnsi="Times New Roman"/>
          <w:sz w:val="24"/>
          <w:lang w:val="en-GB"/>
        </w:rPr>
        <w:t xml:space="preserve"> </w:t>
      </w:r>
    </w:p>
    <w:p w:rsidR="001C2F8B" w:rsidRPr="001055B5" w:rsidRDefault="00DE2A3B" w:rsidP="005B1DA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3C4736" w:rsidRPr="001055B5">
        <w:rPr>
          <w:rFonts w:ascii="Times New Roman" w:hAnsi="Times New Roman" w:cs="Times New Roman"/>
          <w:sz w:val="24"/>
          <w:szCs w:val="24"/>
        </w:rPr>
        <w:t xml:space="preserve">here is a clear need for more quantitative research estimating the impact of Solvency II on run-off business. However, due to sophisticated nature of Solvency II </w:t>
      </w:r>
      <w:r w:rsidR="00D06675" w:rsidRPr="001055B5">
        <w:rPr>
          <w:rFonts w:ascii="Times New Roman" w:hAnsi="Times New Roman" w:cs="Times New Roman"/>
          <w:sz w:val="24"/>
          <w:szCs w:val="24"/>
        </w:rPr>
        <w:t>standard</w:t>
      </w:r>
      <w:r w:rsidR="003C4736" w:rsidRPr="001055B5">
        <w:rPr>
          <w:rFonts w:ascii="Times New Roman" w:hAnsi="Times New Roman" w:cs="Times New Roman"/>
          <w:sz w:val="24"/>
          <w:szCs w:val="24"/>
        </w:rPr>
        <w:t xml:space="preserve"> formula and large number of factors that have to be accounted for, the results are likely to vary significantly depending on</w:t>
      </w:r>
      <w:r w:rsidR="00887780" w:rsidRPr="001055B5">
        <w:rPr>
          <w:rFonts w:ascii="Times New Roman" w:hAnsi="Times New Roman" w:cs="Times New Roman"/>
          <w:sz w:val="24"/>
          <w:szCs w:val="24"/>
        </w:rPr>
        <w:t xml:space="preserve"> </w:t>
      </w:r>
      <w:r w:rsidR="00D06675" w:rsidRPr="001055B5">
        <w:rPr>
          <w:rFonts w:ascii="Times New Roman" w:hAnsi="Times New Roman" w:cs="Times New Roman"/>
          <w:sz w:val="24"/>
          <w:szCs w:val="24"/>
        </w:rPr>
        <w:t xml:space="preserve">characteristics of </w:t>
      </w:r>
      <w:r w:rsidR="00F94AAD">
        <w:rPr>
          <w:rFonts w:ascii="Times New Roman" w:hAnsi="Times New Roman" w:cs="Times New Roman"/>
          <w:sz w:val="24"/>
          <w:szCs w:val="24"/>
        </w:rPr>
        <w:t>different</w:t>
      </w:r>
      <w:r w:rsidR="00D06675" w:rsidRPr="001055B5">
        <w:rPr>
          <w:rFonts w:ascii="Times New Roman" w:hAnsi="Times New Roman" w:cs="Times New Roman"/>
          <w:sz w:val="24"/>
          <w:szCs w:val="24"/>
        </w:rPr>
        <w:t xml:space="preserve"> portfolio</w:t>
      </w:r>
      <w:r w:rsidR="00F94AAD">
        <w:rPr>
          <w:rFonts w:ascii="Times New Roman" w:hAnsi="Times New Roman" w:cs="Times New Roman"/>
          <w:sz w:val="24"/>
          <w:szCs w:val="24"/>
        </w:rPr>
        <w:t>s</w:t>
      </w:r>
      <w:r w:rsidR="003C4736" w:rsidRPr="001055B5">
        <w:rPr>
          <w:rFonts w:ascii="Times New Roman" w:hAnsi="Times New Roman" w:cs="Times New Roman"/>
          <w:sz w:val="24"/>
          <w:szCs w:val="24"/>
        </w:rPr>
        <w:t xml:space="preserve">. Nevertheless, despite </w:t>
      </w:r>
      <w:r w:rsidR="00080DF9" w:rsidRPr="001055B5">
        <w:rPr>
          <w:rFonts w:ascii="Times New Roman" w:hAnsi="Times New Roman" w:cs="Times New Roman"/>
          <w:sz w:val="24"/>
          <w:szCs w:val="24"/>
        </w:rPr>
        <w:t>not taking into account all the factors contributing to calculation of capital requirements</w:t>
      </w:r>
      <w:r w:rsidR="003C4736" w:rsidRPr="001055B5">
        <w:rPr>
          <w:rFonts w:ascii="Times New Roman" w:hAnsi="Times New Roman" w:cs="Times New Roman"/>
          <w:sz w:val="24"/>
          <w:szCs w:val="24"/>
        </w:rPr>
        <w:t xml:space="preserve">, the studies discussed show how discontinued business </w:t>
      </w:r>
      <w:r w:rsidR="00D06675" w:rsidRPr="001055B5">
        <w:rPr>
          <w:rFonts w:ascii="Times New Roman" w:hAnsi="Times New Roman" w:cs="Times New Roman"/>
          <w:sz w:val="24"/>
          <w:szCs w:val="24"/>
        </w:rPr>
        <w:t xml:space="preserve">may contribute to the increasing of </w:t>
      </w:r>
      <w:r w:rsidR="003C4736" w:rsidRPr="001055B5">
        <w:rPr>
          <w:rFonts w:ascii="Times New Roman" w:hAnsi="Times New Roman" w:cs="Times New Roman"/>
          <w:sz w:val="24"/>
          <w:szCs w:val="24"/>
        </w:rPr>
        <w:t xml:space="preserve">the cost of capital. </w:t>
      </w:r>
    </w:p>
    <w:p w:rsidR="00D06675" w:rsidRPr="001055B5" w:rsidRDefault="00D06675" w:rsidP="005B1DA4">
      <w:pPr>
        <w:spacing w:after="0" w:line="360" w:lineRule="auto"/>
        <w:ind w:firstLine="720"/>
        <w:jc w:val="both"/>
        <w:rPr>
          <w:rFonts w:ascii="Times New Roman" w:hAnsi="Times New Roman" w:cs="Times New Roman"/>
          <w:sz w:val="24"/>
          <w:szCs w:val="24"/>
        </w:rPr>
      </w:pPr>
    </w:p>
    <w:p w:rsidR="00DF5706" w:rsidRPr="001055B5" w:rsidRDefault="001C2F8B" w:rsidP="0081160C">
      <w:pPr>
        <w:spacing w:after="120" w:line="360" w:lineRule="auto"/>
        <w:ind w:firstLine="720"/>
        <w:jc w:val="both"/>
        <w:rPr>
          <w:rFonts w:ascii="Times New Roman" w:hAnsi="Times New Roman" w:cs="Times New Roman"/>
          <w:b/>
          <w:sz w:val="24"/>
          <w:szCs w:val="24"/>
        </w:rPr>
      </w:pPr>
      <w:r w:rsidRPr="001055B5">
        <w:rPr>
          <w:rFonts w:ascii="Times New Roman" w:hAnsi="Times New Roman" w:cs="Times New Roman"/>
          <w:b/>
          <w:sz w:val="24"/>
          <w:szCs w:val="24"/>
        </w:rPr>
        <w:t xml:space="preserve">3.2.2 </w:t>
      </w:r>
      <w:r w:rsidR="00DF5706" w:rsidRPr="001055B5">
        <w:rPr>
          <w:rFonts w:ascii="Times New Roman" w:hAnsi="Times New Roman" w:cs="Times New Roman"/>
          <w:b/>
          <w:sz w:val="24"/>
          <w:szCs w:val="24"/>
        </w:rPr>
        <w:t>Pillar II (</w:t>
      </w:r>
      <w:r w:rsidR="00A70FE4" w:rsidRPr="001055B5">
        <w:rPr>
          <w:rFonts w:ascii="Times New Roman" w:hAnsi="Times New Roman" w:cs="Times New Roman"/>
          <w:b/>
          <w:sz w:val="24"/>
          <w:szCs w:val="24"/>
        </w:rPr>
        <w:t>Qualitative</w:t>
      </w:r>
      <w:r w:rsidR="00DF5706" w:rsidRPr="001055B5">
        <w:rPr>
          <w:rFonts w:ascii="Times New Roman" w:hAnsi="Times New Roman" w:cs="Times New Roman"/>
          <w:b/>
          <w:sz w:val="24"/>
          <w:szCs w:val="24"/>
        </w:rPr>
        <w:t xml:space="preserve"> requirements) </w:t>
      </w:r>
    </w:p>
    <w:p w:rsidR="005E3866" w:rsidRPr="001055B5" w:rsidRDefault="00875AD8" w:rsidP="00B42489">
      <w:pPr>
        <w:spacing w:after="0" w:line="360" w:lineRule="auto"/>
        <w:jc w:val="both"/>
        <w:rPr>
          <w:rFonts w:ascii="Times New Roman" w:hAnsi="Times New Roman" w:cs="Times New Roman"/>
          <w:sz w:val="24"/>
          <w:szCs w:val="24"/>
        </w:rPr>
      </w:pPr>
      <w:r w:rsidRPr="001055B5">
        <w:rPr>
          <w:rFonts w:ascii="Times New Roman" w:hAnsi="Times New Roman" w:cs="Times New Roman"/>
          <w:sz w:val="24"/>
          <w:szCs w:val="24"/>
        </w:rPr>
        <w:t xml:space="preserve">Whereas </w:t>
      </w:r>
      <w:r w:rsidR="00DF5706" w:rsidRPr="001055B5">
        <w:rPr>
          <w:rFonts w:ascii="Times New Roman" w:hAnsi="Times New Roman" w:cs="Times New Roman"/>
          <w:sz w:val="24"/>
          <w:szCs w:val="24"/>
        </w:rPr>
        <w:t xml:space="preserve">the impact of </w:t>
      </w:r>
      <w:r w:rsidRPr="001055B5">
        <w:rPr>
          <w:rFonts w:ascii="Times New Roman" w:hAnsi="Times New Roman" w:cs="Times New Roman"/>
          <w:sz w:val="24"/>
          <w:szCs w:val="24"/>
        </w:rPr>
        <w:t>quantitative</w:t>
      </w:r>
      <w:r w:rsidR="00DF5706" w:rsidRPr="001055B5">
        <w:rPr>
          <w:rFonts w:ascii="Times New Roman" w:hAnsi="Times New Roman" w:cs="Times New Roman"/>
          <w:sz w:val="24"/>
          <w:szCs w:val="24"/>
        </w:rPr>
        <w:t xml:space="preserve"> requirements on </w:t>
      </w:r>
      <w:r w:rsidRPr="001055B5">
        <w:rPr>
          <w:rFonts w:ascii="Times New Roman" w:hAnsi="Times New Roman" w:cs="Times New Roman"/>
          <w:sz w:val="24"/>
          <w:szCs w:val="24"/>
        </w:rPr>
        <w:t xml:space="preserve">discontinued </w:t>
      </w:r>
      <w:r w:rsidR="00DF5706" w:rsidRPr="001055B5">
        <w:rPr>
          <w:rFonts w:ascii="Times New Roman" w:hAnsi="Times New Roman" w:cs="Times New Roman"/>
          <w:sz w:val="24"/>
          <w:szCs w:val="24"/>
        </w:rPr>
        <w:t xml:space="preserve">insurance is pretty </w:t>
      </w:r>
      <w:r w:rsidRPr="001055B5">
        <w:rPr>
          <w:rFonts w:ascii="Times New Roman" w:hAnsi="Times New Roman" w:cs="Times New Roman"/>
          <w:sz w:val="24"/>
          <w:szCs w:val="24"/>
        </w:rPr>
        <w:t>straightforward</w:t>
      </w:r>
      <w:r w:rsidR="00DF5706" w:rsidRPr="001055B5">
        <w:rPr>
          <w:rFonts w:ascii="Times New Roman" w:hAnsi="Times New Roman" w:cs="Times New Roman"/>
          <w:sz w:val="24"/>
          <w:szCs w:val="24"/>
        </w:rPr>
        <w:t xml:space="preserve">, </w:t>
      </w:r>
      <w:r w:rsidRPr="001055B5">
        <w:rPr>
          <w:rFonts w:ascii="Times New Roman" w:hAnsi="Times New Roman" w:cs="Times New Roman"/>
          <w:sz w:val="24"/>
          <w:szCs w:val="24"/>
        </w:rPr>
        <w:t>Pillar II</w:t>
      </w:r>
      <w:r w:rsidR="00DF5706" w:rsidRPr="001055B5">
        <w:rPr>
          <w:rFonts w:ascii="Times New Roman" w:hAnsi="Times New Roman" w:cs="Times New Roman"/>
          <w:sz w:val="24"/>
          <w:szCs w:val="24"/>
        </w:rPr>
        <w:t xml:space="preserve"> implications are not that </w:t>
      </w:r>
      <w:r w:rsidRPr="001055B5">
        <w:rPr>
          <w:rFonts w:ascii="Times New Roman" w:hAnsi="Times New Roman" w:cs="Times New Roman"/>
          <w:sz w:val="24"/>
          <w:szCs w:val="24"/>
        </w:rPr>
        <w:t>clear from the first glance</w:t>
      </w:r>
      <w:r w:rsidR="00DF5706" w:rsidRPr="001055B5">
        <w:rPr>
          <w:rFonts w:ascii="Times New Roman" w:hAnsi="Times New Roman" w:cs="Times New Roman"/>
          <w:sz w:val="24"/>
          <w:szCs w:val="24"/>
        </w:rPr>
        <w:t xml:space="preserve">. </w:t>
      </w:r>
    </w:p>
    <w:p w:rsidR="005E3866" w:rsidRPr="001055B5" w:rsidRDefault="00764D82" w:rsidP="005B1DA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First of all, </w:t>
      </w:r>
      <w:r w:rsidR="00617870" w:rsidRPr="001055B5">
        <w:rPr>
          <w:rFonts w:ascii="Times New Roman" w:hAnsi="Times New Roman" w:cs="Times New Roman"/>
          <w:sz w:val="24"/>
          <w:szCs w:val="24"/>
        </w:rPr>
        <w:t xml:space="preserve">one issue </w:t>
      </w:r>
      <w:r>
        <w:rPr>
          <w:rFonts w:ascii="Times New Roman" w:hAnsi="Times New Roman" w:cs="Times New Roman"/>
          <w:sz w:val="24"/>
          <w:szCs w:val="24"/>
        </w:rPr>
        <w:t>of run-off</w:t>
      </w:r>
      <w:r w:rsidR="00617870" w:rsidRPr="001055B5">
        <w:rPr>
          <w:rFonts w:ascii="Times New Roman" w:hAnsi="Times New Roman" w:cs="Times New Roman"/>
          <w:sz w:val="24"/>
          <w:szCs w:val="24"/>
        </w:rPr>
        <w:t xml:space="preserve">, especially if </w:t>
      </w:r>
      <w:r>
        <w:rPr>
          <w:rFonts w:ascii="Times New Roman" w:hAnsi="Times New Roman" w:cs="Times New Roman"/>
          <w:sz w:val="24"/>
          <w:szCs w:val="24"/>
        </w:rPr>
        <w:t>it</w:t>
      </w:r>
      <w:r w:rsidR="00617870" w:rsidRPr="001055B5">
        <w:rPr>
          <w:rFonts w:ascii="Times New Roman" w:hAnsi="Times New Roman" w:cs="Times New Roman"/>
          <w:sz w:val="24"/>
          <w:szCs w:val="24"/>
        </w:rPr>
        <w:t xml:space="preserve"> is very advanced, is that </w:t>
      </w:r>
      <w:r w:rsidR="0049071C">
        <w:rPr>
          <w:rFonts w:ascii="Times New Roman" w:hAnsi="Times New Roman" w:cs="Times New Roman"/>
          <w:sz w:val="24"/>
          <w:szCs w:val="24"/>
        </w:rPr>
        <w:t>it is</w:t>
      </w:r>
      <w:r w:rsidR="00617870" w:rsidRPr="001055B5">
        <w:rPr>
          <w:rFonts w:ascii="Times New Roman" w:hAnsi="Times New Roman" w:cs="Times New Roman"/>
          <w:sz w:val="24"/>
          <w:szCs w:val="24"/>
        </w:rPr>
        <w:t xml:space="preserve"> often managed by a limited staff. Therefore it may be a challenge to find a person for an internal audit or any other </w:t>
      </w:r>
      <w:r w:rsidR="005E3866" w:rsidRPr="001055B5">
        <w:rPr>
          <w:rFonts w:ascii="Times New Roman" w:hAnsi="Times New Roman" w:cs="Times New Roman"/>
          <w:sz w:val="24"/>
          <w:szCs w:val="24"/>
        </w:rPr>
        <w:t xml:space="preserve">risk-management </w:t>
      </w:r>
      <w:r w:rsidR="00617870" w:rsidRPr="001055B5">
        <w:rPr>
          <w:rFonts w:ascii="Times New Roman" w:hAnsi="Times New Roman" w:cs="Times New Roman"/>
          <w:sz w:val="24"/>
          <w:szCs w:val="24"/>
        </w:rPr>
        <w:t xml:space="preserve">function and employing somebody just for this specific task is not efficient either. As a result some of the staff responsible for the live businesses may be diverted to attend to the discontinued </w:t>
      </w:r>
      <w:r w:rsidR="00DB2B6A">
        <w:rPr>
          <w:rFonts w:ascii="Times New Roman" w:hAnsi="Times New Roman" w:cs="Times New Roman"/>
          <w:sz w:val="24"/>
          <w:szCs w:val="24"/>
        </w:rPr>
        <w:t>lines</w:t>
      </w:r>
      <w:r w:rsidR="00617870" w:rsidRPr="001055B5">
        <w:rPr>
          <w:rFonts w:ascii="Times New Roman" w:hAnsi="Times New Roman" w:cs="Times New Roman"/>
          <w:sz w:val="24"/>
          <w:szCs w:val="24"/>
        </w:rPr>
        <w:t xml:space="preserve">, disrupting the normal flow of company’s operations. </w:t>
      </w:r>
    </w:p>
    <w:p w:rsidR="00617870" w:rsidRPr="001055B5" w:rsidRDefault="005E3866" w:rsidP="005B1DA4">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t xml:space="preserve">Moreover, if the relevant insurance business is old, which is quite often the case for </w:t>
      </w:r>
      <w:r w:rsidR="002F23D8" w:rsidRPr="001055B5">
        <w:rPr>
          <w:rFonts w:ascii="Times New Roman" w:hAnsi="Times New Roman" w:cs="Times New Roman"/>
          <w:sz w:val="24"/>
          <w:szCs w:val="24"/>
        </w:rPr>
        <w:t xml:space="preserve">portfolios </w:t>
      </w:r>
      <w:r w:rsidRPr="001055B5">
        <w:rPr>
          <w:rFonts w:ascii="Times New Roman" w:hAnsi="Times New Roman" w:cs="Times New Roman"/>
          <w:sz w:val="24"/>
          <w:szCs w:val="24"/>
        </w:rPr>
        <w:t>in run-off, there could be an issue of getting access to the data due to the limited availability of the records. For example in case those records were paper based they may be problematic to locate</w:t>
      </w:r>
      <w:r w:rsidR="001A4AB8">
        <w:rPr>
          <w:rFonts w:ascii="Times New Roman" w:hAnsi="Times New Roman" w:cs="Times New Roman"/>
          <w:sz w:val="24"/>
          <w:szCs w:val="24"/>
        </w:rPr>
        <w:t>. Alternatively</w:t>
      </w:r>
      <w:r w:rsidRPr="001055B5">
        <w:rPr>
          <w:rFonts w:ascii="Times New Roman" w:hAnsi="Times New Roman" w:cs="Times New Roman"/>
          <w:sz w:val="24"/>
          <w:szCs w:val="24"/>
        </w:rPr>
        <w:t xml:space="preserve"> the</w:t>
      </w:r>
      <w:r w:rsidR="001A4AB8">
        <w:rPr>
          <w:rFonts w:ascii="Times New Roman" w:hAnsi="Times New Roman" w:cs="Times New Roman"/>
          <w:sz w:val="24"/>
          <w:szCs w:val="24"/>
        </w:rPr>
        <w:t>y can be in a poor condition</w:t>
      </w:r>
      <w:r w:rsidRPr="001055B5">
        <w:rPr>
          <w:rFonts w:ascii="Times New Roman" w:hAnsi="Times New Roman" w:cs="Times New Roman"/>
          <w:sz w:val="24"/>
          <w:szCs w:val="24"/>
        </w:rPr>
        <w:t xml:space="preserve">. </w:t>
      </w:r>
      <w:r w:rsidR="00694D84">
        <w:rPr>
          <w:rFonts w:ascii="Times New Roman" w:hAnsi="Times New Roman" w:cs="Times New Roman"/>
          <w:sz w:val="24"/>
          <w:szCs w:val="24"/>
        </w:rPr>
        <w:t>Additionally</w:t>
      </w:r>
      <w:r w:rsidR="00A52749">
        <w:rPr>
          <w:rFonts w:ascii="Times New Roman" w:hAnsi="Times New Roman" w:cs="Times New Roman"/>
          <w:sz w:val="24"/>
          <w:szCs w:val="24"/>
        </w:rPr>
        <w:t xml:space="preserve"> o</w:t>
      </w:r>
      <w:r w:rsidRPr="001055B5">
        <w:rPr>
          <w:rFonts w:ascii="Times New Roman" w:hAnsi="Times New Roman" w:cs="Times New Roman"/>
          <w:sz w:val="24"/>
          <w:szCs w:val="24"/>
        </w:rPr>
        <w:t xml:space="preserve">lder data can be </w:t>
      </w:r>
      <w:r w:rsidR="006F6FEA">
        <w:rPr>
          <w:rFonts w:ascii="Times New Roman" w:hAnsi="Times New Roman" w:cs="Times New Roman"/>
          <w:sz w:val="24"/>
          <w:szCs w:val="24"/>
        </w:rPr>
        <w:t>in</w:t>
      </w:r>
      <w:r w:rsidR="006F6FEA" w:rsidRPr="001055B5">
        <w:rPr>
          <w:rFonts w:ascii="Times New Roman" w:hAnsi="Times New Roman" w:cs="Times New Roman"/>
          <w:sz w:val="24"/>
          <w:szCs w:val="24"/>
        </w:rPr>
        <w:t xml:space="preserve">complete </w:t>
      </w:r>
      <w:r w:rsidR="006F6FEA">
        <w:rPr>
          <w:rFonts w:ascii="Times New Roman" w:hAnsi="Times New Roman" w:cs="Times New Roman"/>
          <w:sz w:val="24"/>
          <w:szCs w:val="24"/>
        </w:rPr>
        <w:t xml:space="preserve">or </w:t>
      </w:r>
      <w:r w:rsidRPr="001055B5">
        <w:rPr>
          <w:rFonts w:ascii="Times New Roman" w:hAnsi="Times New Roman" w:cs="Times New Roman"/>
          <w:sz w:val="24"/>
          <w:szCs w:val="24"/>
        </w:rPr>
        <w:t xml:space="preserve">less reliable and the staff with a direct knowledge of the portfolio or responsible for the data may no longer be working at the company for various reasons. All these issues make dealing with run-off business </w:t>
      </w:r>
      <w:r w:rsidR="00A56C46" w:rsidRPr="001055B5">
        <w:rPr>
          <w:rFonts w:ascii="Times New Roman" w:hAnsi="Times New Roman" w:cs="Times New Roman"/>
          <w:sz w:val="24"/>
          <w:szCs w:val="24"/>
        </w:rPr>
        <w:t>for the purposes of Pillar II</w:t>
      </w:r>
      <w:r w:rsidR="000D6753">
        <w:rPr>
          <w:rFonts w:ascii="Times New Roman" w:hAnsi="Times New Roman" w:cs="Times New Roman"/>
          <w:sz w:val="24"/>
          <w:szCs w:val="24"/>
        </w:rPr>
        <w:t xml:space="preserve"> and in general</w:t>
      </w:r>
      <w:r w:rsidR="00A56C46" w:rsidRPr="001055B5">
        <w:rPr>
          <w:rFonts w:ascii="Times New Roman" w:hAnsi="Times New Roman" w:cs="Times New Roman"/>
          <w:sz w:val="24"/>
          <w:szCs w:val="24"/>
        </w:rPr>
        <w:t xml:space="preserve"> quite challenging</w:t>
      </w:r>
      <w:r w:rsidRPr="001055B5">
        <w:rPr>
          <w:rFonts w:ascii="Times New Roman" w:hAnsi="Times New Roman" w:cs="Times New Roman"/>
          <w:sz w:val="24"/>
          <w:szCs w:val="24"/>
        </w:rPr>
        <w:t xml:space="preserve">. </w:t>
      </w:r>
    </w:p>
    <w:p w:rsidR="0036640E" w:rsidRPr="001055B5" w:rsidRDefault="00875AD8" w:rsidP="005B1DA4">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t>As a part of</w:t>
      </w:r>
      <w:r w:rsidR="008A3F21" w:rsidRPr="001055B5">
        <w:rPr>
          <w:rFonts w:ascii="Times New Roman" w:hAnsi="Times New Roman" w:cs="Times New Roman"/>
          <w:sz w:val="24"/>
          <w:szCs w:val="24"/>
        </w:rPr>
        <w:t xml:space="preserve"> the</w:t>
      </w:r>
      <w:r w:rsidRPr="001055B5">
        <w:rPr>
          <w:rFonts w:ascii="Times New Roman" w:hAnsi="Times New Roman" w:cs="Times New Roman"/>
          <w:sz w:val="24"/>
          <w:szCs w:val="24"/>
        </w:rPr>
        <w:t xml:space="preserve"> </w:t>
      </w:r>
      <w:r w:rsidR="006211A1" w:rsidRPr="001055B5">
        <w:rPr>
          <w:rFonts w:ascii="Times New Roman" w:hAnsi="Times New Roman" w:cs="Times New Roman"/>
          <w:sz w:val="24"/>
          <w:szCs w:val="24"/>
        </w:rPr>
        <w:t>pillar’s</w:t>
      </w:r>
      <w:r w:rsidRPr="001055B5">
        <w:rPr>
          <w:rFonts w:ascii="Times New Roman" w:hAnsi="Times New Roman" w:cs="Times New Roman"/>
          <w:sz w:val="24"/>
          <w:szCs w:val="24"/>
        </w:rPr>
        <w:t xml:space="preserve"> risk management component companies are required to carry </w:t>
      </w:r>
      <w:r w:rsidR="008A3F21" w:rsidRPr="001055B5">
        <w:rPr>
          <w:rFonts w:ascii="Times New Roman" w:hAnsi="Times New Roman" w:cs="Times New Roman"/>
          <w:sz w:val="24"/>
          <w:szCs w:val="24"/>
        </w:rPr>
        <w:t xml:space="preserve">out </w:t>
      </w:r>
      <w:r w:rsidRPr="001055B5">
        <w:rPr>
          <w:rFonts w:ascii="Times New Roman" w:hAnsi="Times New Roman" w:cs="Times New Roman"/>
          <w:sz w:val="24"/>
          <w:szCs w:val="24"/>
        </w:rPr>
        <w:t>their own risk</w:t>
      </w:r>
      <w:r w:rsidR="00A56C46" w:rsidRPr="001055B5">
        <w:rPr>
          <w:rFonts w:ascii="Times New Roman" w:hAnsi="Times New Roman" w:cs="Times New Roman"/>
          <w:sz w:val="24"/>
          <w:szCs w:val="24"/>
        </w:rPr>
        <w:t xml:space="preserve"> and solvency assessment (ORSA), </w:t>
      </w:r>
      <w:r w:rsidR="000378E2">
        <w:rPr>
          <w:rFonts w:ascii="Times New Roman" w:hAnsi="Times New Roman" w:cs="Times New Roman"/>
          <w:sz w:val="24"/>
          <w:szCs w:val="24"/>
        </w:rPr>
        <w:t>discussed</w:t>
      </w:r>
      <w:r w:rsidR="00A56C46" w:rsidRPr="001055B5">
        <w:rPr>
          <w:rFonts w:ascii="Times New Roman" w:hAnsi="Times New Roman" w:cs="Times New Roman"/>
          <w:sz w:val="24"/>
          <w:szCs w:val="24"/>
        </w:rPr>
        <w:t xml:space="preserve"> </w:t>
      </w:r>
      <w:r w:rsidR="000378E2">
        <w:rPr>
          <w:rFonts w:ascii="Times New Roman" w:hAnsi="Times New Roman" w:cs="Times New Roman"/>
          <w:sz w:val="24"/>
          <w:szCs w:val="24"/>
        </w:rPr>
        <w:t>previously</w:t>
      </w:r>
      <w:r w:rsidR="00A56C46" w:rsidRPr="001055B5">
        <w:rPr>
          <w:rFonts w:ascii="Times New Roman" w:hAnsi="Times New Roman" w:cs="Times New Roman"/>
          <w:sz w:val="24"/>
          <w:szCs w:val="24"/>
        </w:rPr>
        <w:t xml:space="preserve">. </w:t>
      </w:r>
      <w:r w:rsidR="00B3626C" w:rsidRPr="001055B5">
        <w:rPr>
          <w:rFonts w:ascii="Times New Roman" w:hAnsi="Times New Roman" w:cs="Times New Roman"/>
          <w:sz w:val="24"/>
          <w:szCs w:val="24"/>
        </w:rPr>
        <w:t xml:space="preserve">Although </w:t>
      </w:r>
      <w:r w:rsidR="00A56C46" w:rsidRPr="001055B5">
        <w:rPr>
          <w:rFonts w:ascii="Times New Roman" w:hAnsi="Times New Roman" w:cs="Times New Roman"/>
          <w:sz w:val="24"/>
          <w:szCs w:val="24"/>
        </w:rPr>
        <w:t>it</w:t>
      </w:r>
      <w:r w:rsidR="00B3626C" w:rsidRPr="001055B5">
        <w:rPr>
          <w:rFonts w:ascii="Times New Roman" w:hAnsi="Times New Roman" w:cs="Times New Roman"/>
          <w:sz w:val="24"/>
          <w:szCs w:val="24"/>
        </w:rPr>
        <w:t xml:space="preserve"> is not used to calculate capital requirements</w:t>
      </w:r>
      <w:r w:rsidR="00B3626C" w:rsidRPr="001055B5">
        <w:rPr>
          <w:rStyle w:val="Funotenzeichen"/>
          <w:rFonts w:ascii="Times New Roman" w:hAnsi="Times New Roman" w:cs="Times New Roman"/>
          <w:sz w:val="24"/>
          <w:szCs w:val="24"/>
        </w:rPr>
        <w:footnoteReference w:id="44"/>
      </w:r>
      <w:r w:rsidR="00450712" w:rsidRPr="001055B5">
        <w:rPr>
          <w:rFonts w:ascii="Times New Roman" w:hAnsi="Times New Roman" w:cs="Times New Roman"/>
          <w:sz w:val="24"/>
          <w:szCs w:val="24"/>
        </w:rPr>
        <w:t xml:space="preserve"> and therefore does not directly result in higher capital charge,</w:t>
      </w:r>
      <w:r w:rsidR="00B3626C" w:rsidRPr="001055B5">
        <w:rPr>
          <w:rFonts w:ascii="Times New Roman" w:hAnsi="Times New Roman" w:cs="Times New Roman"/>
          <w:sz w:val="24"/>
          <w:szCs w:val="24"/>
        </w:rPr>
        <w:t xml:space="preserve"> the insurers will have to estimate the uncertainty associated with the </w:t>
      </w:r>
      <w:r w:rsidR="00450712" w:rsidRPr="001055B5">
        <w:rPr>
          <w:rFonts w:ascii="Times New Roman" w:hAnsi="Times New Roman" w:cs="Times New Roman"/>
          <w:sz w:val="24"/>
          <w:szCs w:val="24"/>
        </w:rPr>
        <w:t xml:space="preserve">future </w:t>
      </w:r>
      <w:r w:rsidR="00B3626C" w:rsidRPr="001055B5">
        <w:rPr>
          <w:rFonts w:ascii="Times New Roman" w:hAnsi="Times New Roman" w:cs="Times New Roman"/>
          <w:sz w:val="24"/>
          <w:szCs w:val="24"/>
        </w:rPr>
        <w:t>value of their assets and liabilities</w:t>
      </w:r>
      <w:r w:rsidR="00450712" w:rsidRPr="001055B5">
        <w:rPr>
          <w:rFonts w:ascii="Times New Roman" w:hAnsi="Times New Roman" w:cs="Times New Roman"/>
          <w:sz w:val="24"/>
          <w:szCs w:val="24"/>
        </w:rPr>
        <w:t xml:space="preserve"> and </w:t>
      </w:r>
      <w:r w:rsidR="008A41A1" w:rsidRPr="001055B5">
        <w:rPr>
          <w:rFonts w:ascii="Times New Roman" w:hAnsi="Times New Roman" w:cs="Times New Roman"/>
          <w:sz w:val="24"/>
          <w:szCs w:val="24"/>
        </w:rPr>
        <w:t xml:space="preserve">their </w:t>
      </w:r>
      <w:r w:rsidR="00450712" w:rsidRPr="001055B5">
        <w:rPr>
          <w:rFonts w:ascii="Times New Roman" w:hAnsi="Times New Roman" w:cs="Times New Roman"/>
          <w:sz w:val="24"/>
          <w:szCs w:val="24"/>
        </w:rPr>
        <w:t>potential changes. In this case having a run-off portfolio, especially of high volatility and with long-tail liabilities</w:t>
      </w:r>
      <w:r w:rsidR="00AF50AD" w:rsidRPr="001055B5">
        <w:rPr>
          <w:rFonts w:ascii="Times New Roman" w:hAnsi="Times New Roman" w:cs="Times New Roman"/>
          <w:sz w:val="24"/>
          <w:szCs w:val="24"/>
        </w:rPr>
        <w:t xml:space="preserve">, </w:t>
      </w:r>
      <w:r w:rsidR="00021294" w:rsidRPr="001055B5">
        <w:rPr>
          <w:rFonts w:ascii="Times New Roman" w:hAnsi="Times New Roman" w:cs="Times New Roman"/>
          <w:sz w:val="24"/>
          <w:szCs w:val="24"/>
        </w:rPr>
        <w:t>complicates</w:t>
      </w:r>
      <w:r w:rsidR="00450712" w:rsidRPr="001055B5">
        <w:rPr>
          <w:rFonts w:ascii="Times New Roman" w:hAnsi="Times New Roman" w:cs="Times New Roman"/>
          <w:sz w:val="24"/>
          <w:szCs w:val="24"/>
        </w:rPr>
        <w:t xml:space="preserve"> an overall analysing process and drains more </w:t>
      </w:r>
      <w:r w:rsidR="00AF50AD" w:rsidRPr="001055B5">
        <w:rPr>
          <w:rFonts w:ascii="Times New Roman" w:hAnsi="Times New Roman" w:cs="Times New Roman"/>
          <w:sz w:val="24"/>
          <w:szCs w:val="24"/>
        </w:rPr>
        <w:t xml:space="preserve">administrative </w:t>
      </w:r>
      <w:r w:rsidR="00450712" w:rsidRPr="001055B5">
        <w:rPr>
          <w:rFonts w:ascii="Times New Roman" w:hAnsi="Times New Roman" w:cs="Times New Roman"/>
          <w:sz w:val="24"/>
          <w:szCs w:val="24"/>
        </w:rPr>
        <w:t xml:space="preserve">resources from a company. </w:t>
      </w:r>
      <w:r w:rsidR="00266C9D" w:rsidRPr="001055B5">
        <w:rPr>
          <w:rFonts w:ascii="Times New Roman" w:hAnsi="Times New Roman" w:cs="Times New Roman"/>
          <w:sz w:val="24"/>
          <w:szCs w:val="24"/>
        </w:rPr>
        <w:t xml:space="preserve">For example, the recent evidence shows that some companies </w:t>
      </w:r>
      <w:r w:rsidR="00C071AF" w:rsidRPr="001055B5">
        <w:rPr>
          <w:rFonts w:ascii="Times New Roman" w:hAnsi="Times New Roman" w:cs="Times New Roman"/>
          <w:sz w:val="24"/>
          <w:szCs w:val="24"/>
        </w:rPr>
        <w:t xml:space="preserve">are </w:t>
      </w:r>
      <w:r w:rsidR="00266C9D" w:rsidRPr="001055B5">
        <w:rPr>
          <w:rFonts w:ascii="Times New Roman" w:hAnsi="Times New Roman" w:cs="Times New Roman"/>
          <w:sz w:val="24"/>
          <w:szCs w:val="24"/>
        </w:rPr>
        <w:t>already facing challenges with obtaining asset data for ORSA purposes.</w:t>
      </w:r>
      <w:r w:rsidR="00266C9D" w:rsidRPr="001055B5">
        <w:rPr>
          <w:rStyle w:val="Funotenzeichen"/>
          <w:rFonts w:ascii="Times New Roman" w:hAnsi="Times New Roman" w:cs="Times New Roman"/>
          <w:sz w:val="24"/>
          <w:szCs w:val="24"/>
        </w:rPr>
        <w:footnoteReference w:id="45"/>
      </w:r>
      <w:r w:rsidR="00266C9D" w:rsidRPr="001055B5">
        <w:rPr>
          <w:rFonts w:ascii="Times New Roman" w:hAnsi="Times New Roman" w:cs="Times New Roman"/>
          <w:sz w:val="24"/>
          <w:szCs w:val="24"/>
        </w:rPr>
        <w:t xml:space="preserve"> </w:t>
      </w:r>
      <w:r w:rsidR="00450712" w:rsidRPr="001055B5">
        <w:rPr>
          <w:rFonts w:ascii="Times New Roman" w:hAnsi="Times New Roman" w:cs="Times New Roman"/>
          <w:sz w:val="24"/>
          <w:szCs w:val="24"/>
        </w:rPr>
        <w:t xml:space="preserve">Considering that </w:t>
      </w:r>
      <w:r w:rsidR="007A5327">
        <w:rPr>
          <w:rFonts w:ascii="Times New Roman" w:hAnsi="Times New Roman" w:cs="Times New Roman"/>
          <w:sz w:val="24"/>
          <w:szCs w:val="24"/>
        </w:rPr>
        <w:t>ORSA</w:t>
      </w:r>
      <w:r w:rsidR="00450712" w:rsidRPr="001055B5">
        <w:rPr>
          <w:rFonts w:ascii="Times New Roman" w:hAnsi="Times New Roman" w:cs="Times New Roman"/>
          <w:sz w:val="24"/>
          <w:szCs w:val="24"/>
        </w:rPr>
        <w:t xml:space="preserve"> has to be conducted at least annually</w:t>
      </w:r>
      <w:r w:rsidR="00450712" w:rsidRPr="001055B5">
        <w:rPr>
          <w:rStyle w:val="Funotenzeichen"/>
          <w:rFonts w:ascii="Times New Roman" w:hAnsi="Times New Roman" w:cs="Times New Roman"/>
          <w:sz w:val="24"/>
          <w:szCs w:val="24"/>
        </w:rPr>
        <w:footnoteReference w:id="46"/>
      </w:r>
      <w:r w:rsidR="00450712" w:rsidRPr="001055B5">
        <w:rPr>
          <w:rFonts w:ascii="Times New Roman" w:hAnsi="Times New Roman" w:cs="Times New Roman"/>
          <w:sz w:val="24"/>
          <w:szCs w:val="24"/>
        </w:rPr>
        <w:t xml:space="preserve"> </w:t>
      </w:r>
      <w:r w:rsidR="00BB1A76" w:rsidRPr="001055B5">
        <w:rPr>
          <w:rFonts w:ascii="Times New Roman" w:hAnsi="Times New Roman" w:cs="Times New Roman"/>
          <w:sz w:val="24"/>
          <w:szCs w:val="24"/>
        </w:rPr>
        <w:t>the indirect financial costs and resource demands of the proce</w:t>
      </w:r>
      <w:r w:rsidR="008D51CF" w:rsidRPr="001055B5">
        <w:rPr>
          <w:rFonts w:ascii="Times New Roman" w:hAnsi="Times New Roman" w:cs="Times New Roman"/>
          <w:sz w:val="24"/>
          <w:szCs w:val="24"/>
        </w:rPr>
        <w:t>ss might become too burdensome</w:t>
      </w:r>
      <w:r w:rsidR="00DF68A6" w:rsidRPr="001055B5">
        <w:rPr>
          <w:rFonts w:ascii="Times New Roman" w:hAnsi="Times New Roman" w:cs="Times New Roman"/>
          <w:sz w:val="24"/>
          <w:szCs w:val="24"/>
        </w:rPr>
        <w:t xml:space="preserve"> for some firms.</w:t>
      </w:r>
    </w:p>
    <w:p w:rsidR="00875AD8" w:rsidRPr="001055B5" w:rsidRDefault="008D51CF" w:rsidP="005B1DA4">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lastRenderedPageBreak/>
        <w:t xml:space="preserve"> </w:t>
      </w:r>
      <w:r w:rsidR="00A13C07" w:rsidRPr="001055B5">
        <w:rPr>
          <w:rFonts w:ascii="Times New Roman" w:hAnsi="Times New Roman" w:cs="Times New Roman"/>
          <w:sz w:val="24"/>
          <w:szCs w:val="24"/>
        </w:rPr>
        <w:t xml:space="preserve">Another component of Pillar II is </w:t>
      </w:r>
      <w:r w:rsidR="004A40B9" w:rsidRPr="001055B5">
        <w:rPr>
          <w:rFonts w:ascii="Times New Roman" w:hAnsi="Times New Roman" w:cs="Times New Roman"/>
          <w:sz w:val="24"/>
          <w:szCs w:val="24"/>
        </w:rPr>
        <w:t xml:space="preserve">the </w:t>
      </w:r>
      <w:r w:rsidR="00A13C07" w:rsidRPr="001055B5">
        <w:rPr>
          <w:rFonts w:ascii="Times New Roman" w:hAnsi="Times New Roman" w:cs="Times New Roman"/>
          <w:sz w:val="24"/>
          <w:szCs w:val="24"/>
        </w:rPr>
        <w:t>supervisory review process (SRP) which comprises the assessment by supervisory authorities of insurers’ compliance with various provisions of Solvency II.</w:t>
      </w:r>
      <w:r w:rsidR="00A13C07" w:rsidRPr="001055B5">
        <w:rPr>
          <w:rStyle w:val="Funotenzeichen"/>
          <w:rFonts w:ascii="Times New Roman" w:hAnsi="Times New Roman" w:cs="Times New Roman"/>
          <w:sz w:val="24"/>
          <w:szCs w:val="24"/>
        </w:rPr>
        <w:footnoteReference w:id="47"/>
      </w:r>
      <w:r w:rsidR="00047A2F" w:rsidRPr="001055B5">
        <w:rPr>
          <w:rFonts w:ascii="Times New Roman" w:hAnsi="Times New Roman" w:cs="Times New Roman"/>
          <w:sz w:val="24"/>
          <w:szCs w:val="24"/>
        </w:rPr>
        <w:t xml:space="preserve"> </w:t>
      </w:r>
      <w:r w:rsidR="00EE6DCB" w:rsidRPr="001055B5">
        <w:rPr>
          <w:rFonts w:ascii="Times New Roman" w:hAnsi="Times New Roman" w:cs="Times New Roman"/>
          <w:sz w:val="24"/>
          <w:szCs w:val="24"/>
        </w:rPr>
        <w:t xml:space="preserve">Among others, the authorities conduct assessment of compliance with the </w:t>
      </w:r>
      <w:r w:rsidR="00D41C1F" w:rsidRPr="001055B5">
        <w:rPr>
          <w:rFonts w:ascii="Times New Roman" w:hAnsi="Times New Roman" w:cs="Times New Roman"/>
          <w:sz w:val="24"/>
          <w:szCs w:val="24"/>
        </w:rPr>
        <w:t>rules</w:t>
      </w:r>
      <w:r w:rsidR="00EE6DCB" w:rsidRPr="001055B5">
        <w:rPr>
          <w:rFonts w:ascii="Times New Roman" w:hAnsi="Times New Roman" w:cs="Times New Roman"/>
          <w:sz w:val="24"/>
          <w:szCs w:val="24"/>
        </w:rPr>
        <w:t xml:space="preserve"> for calculation of technical provisions and capital requirements.</w:t>
      </w:r>
      <w:r w:rsidR="00EE6DCB" w:rsidRPr="001055B5">
        <w:rPr>
          <w:rStyle w:val="Funotenzeichen"/>
          <w:rFonts w:ascii="Times New Roman" w:hAnsi="Times New Roman" w:cs="Times New Roman"/>
          <w:sz w:val="24"/>
          <w:szCs w:val="24"/>
        </w:rPr>
        <w:footnoteReference w:id="48"/>
      </w:r>
      <w:r w:rsidR="008B6716" w:rsidRPr="001055B5">
        <w:rPr>
          <w:rFonts w:ascii="Times New Roman" w:hAnsi="Times New Roman" w:cs="Times New Roman"/>
          <w:sz w:val="24"/>
          <w:szCs w:val="24"/>
        </w:rPr>
        <w:t xml:space="preserve"> The Directive does not define the frequency of the process, leaving it to the authorities to establish </w:t>
      </w:r>
      <w:r w:rsidR="00C654EA" w:rsidRPr="001055B5">
        <w:rPr>
          <w:rFonts w:ascii="Times New Roman" w:hAnsi="Times New Roman" w:cs="Times New Roman"/>
          <w:sz w:val="24"/>
          <w:szCs w:val="24"/>
        </w:rPr>
        <w:t>it together with the scope of the review</w:t>
      </w:r>
      <w:r w:rsidR="008B6716" w:rsidRPr="001055B5">
        <w:rPr>
          <w:rFonts w:ascii="Times New Roman" w:hAnsi="Times New Roman" w:cs="Times New Roman"/>
          <w:sz w:val="24"/>
          <w:szCs w:val="24"/>
        </w:rPr>
        <w:t xml:space="preserve">. In case </w:t>
      </w:r>
      <w:r w:rsidR="0024032C" w:rsidRPr="001055B5">
        <w:rPr>
          <w:rFonts w:ascii="Times New Roman" w:hAnsi="Times New Roman" w:cs="Times New Roman"/>
          <w:sz w:val="24"/>
          <w:szCs w:val="24"/>
        </w:rPr>
        <w:t xml:space="preserve">following the SRP </w:t>
      </w:r>
      <w:r w:rsidR="005D2D17">
        <w:rPr>
          <w:rFonts w:ascii="Times New Roman" w:hAnsi="Times New Roman" w:cs="Times New Roman"/>
          <w:sz w:val="24"/>
          <w:szCs w:val="24"/>
        </w:rPr>
        <w:t>a</w:t>
      </w:r>
      <w:r w:rsidR="0024032C" w:rsidRPr="001055B5">
        <w:rPr>
          <w:rFonts w:ascii="Times New Roman" w:hAnsi="Times New Roman" w:cs="Times New Roman"/>
          <w:sz w:val="24"/>
          <w:szCs w:val="24"/>
        </w:rPr>
        <w:t xml:space="preserve"> supervisory authority concludes that company’s SC</w:t>
      </w:r>
      <w:r w:rsidR="003F5242" w:rsidRPr="001055B5">
        <w:rPr>
          <w:rFonts w:ascii="Times New Roman" w:hAnsi="Times New Roman" w:cs="Times New Roman"/>
          <w:sz w:val="24"/>
          <w:szCs w:val="24"/>
        </w:rPr>
        <w:t>R</w:t>
      </w:r>
      <w:r w:rsidR="0024032C" w:rsidRPr="001055B5">
        <w:rPr>
          <w:rFonts w:ascii="Times New Roman" w:hAnsi="Times New Roman" w:cs="Times New Roman"/>
          <w:sz w:val="24"/>
          <w:szCs w:val="24"/>
        </w:rPr>
        <w:t xml:space="preserve"> does not </w:t>
      </w:r>
      <w:r w:rsidR="007179AC">
        <w:rPr>
          <w:rFonts w:ascii="Times New Roman" w:hAnsi="Times New Roman" w:cs="Times New Roman"/>
          <w:sz w:val="24"/>
          <w:szCs w:val="24"/>
        </w:rPr>
        <w:t>represent</w:t>
      </w:r>
      <w:r w:rsidR="0024032C" w:rsidRPr="001055B5">
        <w:rPr>
          <w:rFonts w:ascii="Times New Roman" w:hAnsi="Times New Roman" w:cs="Times New Roman"/>
          <w:sz w:val="24"/>
          <w:szCs w:val="24"/>
        </w:rPr>
        <w:t xml:space="preserve"> a correct illustration of its risk exposure due to the nature of </w:t>
      </w:r>
      <w:r w:rsidR="0017776F" w:rsidRPr="001055B5">
        <w:rPr>
          <w:rFonts w:ascii="Times New Roman" w:hAnsi="Times New Roman" w:cs="Times New Roman"/>
          <w:sz w:val="24"/>
          <w:szCs w:val="24"/>
        </w:rPr>
        <w:t xml:space="preserve">the </w:t>
      </w:r>
      <w:r w:rsidR="0024032C" w:rsidRPr="001055B5">
        <w:rPr>
          <w:rFonts w:ascii="Times New Roman" w:hAnsi="Times New Roman" w:cs="Times New Roman"/>
          <w:sz w:val="24"/>
          <w:szCs w:val="24"/>
        </w:rPr>
        <w:t>firm’s risk profile</w:t>
      </w:r>
      <w:r w:rsidR="00C654EA" w:rsidRPr="001055B5">
        <w:rPr>
          <w:rFonts w:ascii="Times New Roman" w:hAnsi="Times New Roman" w:cs="Times New Roman"/>
          <w:sz w:val="24"/>
          <w:szCs w:val="24"/>
        </w:rPr>
        <w:t>,</w:t>
      </w:r>
      <w:r w:rsidR="0024032C" w:rsidRPr="001055B5">
        <w:rPr>
          <w:rFonts w:ascii="Times New Roman" w:hAnsi="Times New Roman" w:cs="Times New Roman"/>
          <w:sz w:val="24"/>
          <w:szCs w:val="24"/>
        </w:rPr>
        <w:t xml:space="preserve"> it may impose a capital add-on on such company.</w:t>
      </w:r>
      <w:r w:rsidR="0024032C" w:rsidRPr="001055B5">
        <w:rPr>
          <w:rStyle w:val="Funotenzeichen"/>
          <w:rFonts w:ascii="Times New Roman" w:hAnsi="Times New Roman" w:cs="Times New Roman"/>
          <w:sz w:val="24"/>
          <w:szCs w:val="24"/>
        </w:rPr>
        <w:footnoteReference w:id="49"/>
      </w:r>
      <w:r w:rsidR="0024032C" w:rsidRPr="001055B5">
        <w:rPr>
          <w:rFonts w:ascii="Times New Roman" w:hAnsi="Times New Roman" w:cs="Times New Roman"/>
          <w:sz w:val="24"/>
          <w:szCs w:val="24"/>
        </w:rPr>
        <w:t xml:space="preserve"> The calculation of the add-on has to ensure </w:t>
      </w:r>
      <w:r w:rsidR="00DE0B92" w:rsidRPr="001055B5">
        <w:rPr>
          <w:rFonts w:ascii="Times New Roman" w:hAnsi="Times New Roman" w:cs="Times New Roman"/>
          <w:sz w:val="24"/>
          <w:szCs w:val="24"/>
        </w:rPr>
        <w:t>the compliance</w:t>
      </w:r>
      <w:r w:rsidR="0036296E" w:rsidRPr="001055B5">
        <w:rPr>
          <w:rFonts w:ascii="Times New Roman" w:hAnsi="Times New Roman" w:cs="Times New Roman"/>
          <w:sz w:val="24"/>
          <w:szCs w:val="24"/>
        </w:rPr>
        <w:t xml:space="preserve"> with </w:t>
      </w:r>
      <w:r w:rsidR="008051BA" w:rsidRPr="001055B5">
        <w:rPr>
          <w:rFonts w:ascii="Times New Roman" w:hAnsi="Times New Roman" w:cs="Times New Roman"/>
          <w:sz w:val="24"/>
          <w:szCs w:val="24"/>
        </w:rPr>
        <w:t xml:space="preserve">the </w:t>
      </w:r>
      <w:r w:rsidR="0036296E" w:rsidRPr="001055B5">
        <w:rPr>
          <w:rFonts w:ascii="Times New Roman" w:hAnsi="Times New Roman" w:cs="Times New Roman"/>
          <w:sz w:val="24"/>
          <w:szCs w:val="24"/>
        </w:rPr>
        <w:t xml:space="preserve">SCR. This results in a higher capital charge for the undertaking, </w:t>
      </w:r>
      <w:r w:rsidR="00C654EA" w:rsidRPr="001055B5">
        <w:rPr>
          <w:rFonts w:ascii="Times New Roman" w:hAnsi="Times New Roman" w:cs="Times New Roman"/>
          <w:sz w:val="24"/>
          <w:szCs w:val="24"/>
        </w:rPr>
        <w:t>meaning</w:t>
      </w:r>
      <w:r w:rsidR="004409F4" w:rsidRPr="001055B5">
        <w:rPr>
          <w:rFonts w:ascii="Times New Roman" w:hAnsi="Times New Roman" w:cs="Times New Roman"/>
          <w:sz w:val="24"/>
          <w:szCs w:val="24"/>
        </w:rPr>
        <w:t xml:space="preserve"> an increase in</w:t>
      </w:r>
      <w:r w:rsidR="0036296E" w:rsidRPr="001055B5">
        <w:rPr>
          <w:rFonts w:ascii="Times New Roman" w:hAnsi="Times New Roman" w:cs="Times New Roman"/>
          <w:sz w:val="24"/>
          <w:szCs w:val="24"/>
        </w:rPr>
        <w:t xml:space="preserve"> capital requirements for run-off portfolio</w:t>
      </w:r>
      <w:r w:rsidR="005601E2">
        <w:rPr>
          <w:rFonts w:ascii="Times New Roman" w:hAnsi="Times New Roman" w:cs="Times New Roman"/>
          <w:sz w:val="24"/>
          <w:szCs w:val="24"/>
        </w:rPr>
        <w:t>s</w:t>
      </w:r>
      <w:r w:rsidR="004409F4" w:rsidRPr="001055B5">
        <w:rPr>
          <w:rFonts w:ascii="Times New Roman" w:hAnsi="Times New Roman" w:cs="Times New Roman"/>
          <w:sz w:val="24"/>
          <w:szCs w:val="24"/>
        </w:rPr>
        <w:t xml:space="preserve"> as well</w:t>
      </w:r>
      <w:r w:rsidR="0036296E" w:rsidRPr="001055B5">
        <w:rPr>
          <w:rFonts w:ascii="Times New Roman" w:hAnsi="Times New Roman" w:cs="Times New Roman"/>
          <w:sz w:val="24"/>
          <w:szCs w:val="24"/>
        </w:rPr>
        <w:t>. Additionally in this case having a discontinued portfolio with a deviant risk profile on a balance sh</w:t>
      </w:r>
      <w:r w:rsidR="00C654EA" w:rsidRPr="001055B5">
        <w:rPr>
          <w:rFonts w:ascii="Times New Roman" w:hAnsi="Times New Roman" w:cs="Times New Roman"/>
          <w:sz w:val="24"/>
          <w:szCs w:val="24"/>
        </w:rPr>
        <w:t xml:space="preserve">eet might be </w:t>
      </w:r>
      <w:r w:rsidR="00C24D47">
        <w:rPr>
          <w:rFonts w:ascii="Times New Roman" w:hAnsi="Times New Roman" w:cs="Times New Roman"/>
          <w:sz w:val="24"/>
          <w:szCs w:val="24"/>
        </w:rPr>
        <w:t>the</w:t>
      </w:r>
      <w:r w:rsidR="00C654EA" w:rsidRPr="001055B5">
        <w:rPr>
          <w:rFonts w:ascii="Times New Roman" w:hAnsi="Times New Roman" w:cs="Times New Roman"/>
          <w:sz w:val="24"/>
          <w:szCs w:val="24"/>
        </w:rPr>
        <w:t xml:space="preserve"> </w:t>
      </w:r>
      <w:r w:rsidR="005601E2">
        <w:rPr>
          <w:rFonts w:ascii="Times New Roman" w:hAnsi="Times New Roman" w:cs="Times New Roman"/>
          <w:sz w:val="24"/>
          <w:szCs w:val="24"/>
        </w:rPr>
        <w:t>main</w:t>
      </w:r>
      <w:r w:rsidR="00C654EA" w:rsidRPr="001055B5">
        <w:rPr>
          <w:rFonts w:ascii="Times New Roman" w:hAnsi="Times New Roman" w:cs="Times New Roman"/>
          <w:sz w:val="24"/>
          <w:szCs w:val="24"/>
        </w:rPr>
        <w:t xml:space="preserve"> reason for the</w:t>
      </w:r>
      <w:r w:rsidR="0036296E" w:rsidRPr="001055B5">
        <w:rPr>
          <w:rFonts w:ascii="Times New Roman" w:hAnsi="Times New Roman" w:cs="Times New Roman"/>
          <w:sz w:val="24"/>
          <w:szCs w:val="24"/>
        </w:rPr>
        <w:t xml:space="preserve"> capital add-on. Consequently it is possible to assume that discontinued business increases a chance of supervisory intervention. After all, the less number of risks a company is exposed to the less is </w:t>
      </w:r>
      <w:r w:rsidR="0017776F" w:rsidRPr="001055B5">
        <w:rPr>
          <w:rFonts w:ascii="Times New Roman" w:hAnsi="Times New Roman" w:cs="Times New Roman"/>
          <w:sz w:val="24"/>
          <w:szCs w:val="24"/>
        </w:rPr>
        <w:t xml:space="preserve">the </w:t>
      </w:r>
      <w:r w:rsidR="0036296E" w:rsidRPr="001055B5">
        <w:rPr>
          <w:rFonts w:ascii="Times New Roman" w:hAnsi="Times New Roman" w:cs="Times New Roman"/>
          <w:sz w:val="24"/>
          <w:szCs w:val="24"/>
        </w:rPr>
        <w:t xml:space="preserve">possibility of error in calculations and deviations from </w:t>
      </w:r>
      <w:r w:rsidR="009A5101" w:rsidRPr="001055B5">
        <w:rPr>
          <w:rFonts w:ascii="Times New Roman" w:hAnsi="Times New Roman" w:cs="Times New Roman"/>
          <w:sz w:val="24"/>
          <w:szCs w:val="24"/>
        </w:rPr>
        <w:t xml:space="preserve">the </w:t>
      </w:r>
      <w:r w:rsidR="0036296E" w:rsidRPr="001055B5">
        <w:rPr>
          <w:rFonts w:ascii="Times New Roman" w:hAnsi="Times New Roman" w:cs="Times New Roman"/>
          <w:sz w:val="24"/>
          <w:szCs w:val="24"/>
        </w:rPr>
        <w:t xml:space="preserve">SCR. </w:t>
      </w:r>
    </w:p>
    <w:p w:rsidR="00C654EA" w:rsidRPr="001055B5" w:rsidRDefault="00C654EA" w:rsidP="005B1DA4">
      <w:pPr>
        <w:spacing w:after="0" w:line="360" w:lineRule="auto"/>
        <w:ind w:firstLine="720"/>
        <w:jc w:val="both"/>
        <w:rPr>
          <w:rFonts w:ascii="Times New Roman" w:hAnsi="Times New Roman" w:cs="Times New Roman"/>
          <w:sz w:val="24"/>
          <w:szCs w:val="24"/>
        </w:rPr>
      </w:pPr>
    </w:p>
    <w:p w:rsidR="0036296E" w:rsidRPr="001055B5" w:rsidRDefault="00C654EA" w:rsidP="00280341">
      <w:pPr>
        <w:spacing w:after="120" w:line="360" w:lineRule="auto"/>
        <w:ind w:firstLine="720"/>
        <w:jc w:val="both"/>
        <w:rPr>
          <w:rFonts w:ascii="Times New Roman" w:hAnsi="Times New Roman" w:cs="Times New Roman"/>
          <w:b/>
          <w:sz w:val="24"/>
          <w:szCs w:val="24"/>
        </w:rPr>
      </w:pPr>
      <w:r w:rsidRPr="001055B5">
        <w:rPr>
          <w:rFonts w:ascii="Times New Roman" w:hAnsi="Times New Roman" w:cs="Times New Roman"/>
          <w:b/>
          <w:sz w:val="24"/>
          <w:szCs w:val="24"/>
        </w:rPr>
        <w:t xml:space="preserve">3.2.3 </w:t>
      </w:r>
      <w:r w:rsidR="0036296E" w:rsidRPr="001055B5">
        <w:rPr>
          <w:rFonts w:ascii="Times New Roman" w:hAnsi="Times New Roman" w:cs="Times New Roman"/>
          <w:b/>
          <w:sz w:val="24"/>
          <w:szCs w:val="24"/>
        </w:rPr>
        <w:t xml:space="preserve">Pillar 3 (Reporting standards) </w:t>
      </w:r>
    </w:p>
    <w:p w:rsidR="00FC381F" w:rsidRPr="001055B5" w:rsidRDefault="00FC381F" w:rsidP="00B42489">
      <w:pPr>
        <w:spacing w:after="0" w:line="360" w:lineRule="auto"/>
        <w:jc w:val="both"/>
        <w:rPr>
          <w:rFonts w:ascii="Times New Roman" w:hAnsi="Times New Roman" w:cs="Times New Roman"/>
          <w:sz w:val="24"/>
          <w:szCs w:val="24"/>
        </w:rPr>
      </w:pPr>
      <w:r w:rsidRPr="001055B5">
        <w:rPr>
          <w:rFonts w:ascii="Times New Roman" w:hAnsi="Times New Roman" w:cs="Times New Roman"/>
          <w:sz w:val="24"/>
          <w:szCs w:val="24"/>
        </w:rPr>
        <w:t xml:space="preserve">The implications of the Pillar 3 requirements on discontinued business </w:t>
      </w:r>
      <w:r w:rsidR="00994015" w:rsidRPr="001055B5">
        <w:rPr>
          <w:rFonts w:ascii="Times New Roman" w:hAnsi="Times New Roman" w:cs="Times New Roman"/>
          <w:sz w:val="24"/>
          <w:szCs w:val="24"/>
        </w:rPr>
        <w:t xml:space="preserve">are probably the </w:t>
      </w:r>
      <w:r w:rsidR="001D15AD" w:rsidRPr="001055B5">
        <w:rPr>
          <w:rFonts w:ascii="Times New Roman" w:hAnsi="Times New Roman" w:cs="Times New Roman"/>
          <w:sz w:val="24"/>
          <w:szCs w:val="24"/>
        </w:rPr>
        <w:t>least</w:t>
      </w:r>
      <w:r w:rsidR="00994015" w:rsidRPr="001055B5">
        <w:rPr>
          <w:rFonts w:ascii="Times New Roman" w:hAnsi="Times New Roman" w:cs="Times New Roman"/>
          <w:sz w:val="24"/>
          <w:szCs w:val="24"/>
        </w:rPr>
        <w:t xml:space="preserve"> discussed</w:t>
      </w:r>
      <w:r w:rsidRPr="001055B5">
        <w:rPr>
          <w:rFonts w:ascii="Times New Roman" w:hAnsi="Times New Roman" w:cs="Times New Roman"/>
          <w:sz w:val="24"/>
          <w:szCs w:val="24"/>
        </w:rPr>
        <w:t xml:space="preserve">. The main elements of </w:t>
      </w:r>
      <w:r w:rsidR="001831C4" w:rsidRPr="001055B5">
        <w:rPr>
          <w:rFonts w:ascii="Times New Roman" w:hAnsi="Times New Roman" w:cs="Times New Roman"/>
          <w:sz w:val="24"/>
          <w:szCs w:val="24"/>
        </w:rPr>
        <w:t>t</w:t>
      </w:r>
      <w:r w:rsidR="0062666D" w:rsidRPr="001055B5">
        <w:rPr>
          <w:rFonts w:ascii="Times New Roman" w:hAnsi="Times New Roman" w:cs="Times New Roman"/>
          <w:sz w:val="24"/>
          <w:szCs w:val="24"/>
        </w:rPr>
        <w:t>he p</w:t>
      </w:r>
      <w:r w:rsidR="001831C4" w:rsidRPr="001055B5">
        <w:rPr>
          <w:rFonts w:ascii="Times New Roman" w:hAnsi="Times New Roman" w:cs="Times New Roman"/>
          <w:sz w:val="24"/>
          <w:szCs w:val="24"/>
        </w:rPr>
        <w:t xml:space="preserve">illar </w:t>
      </w:r>
      <w:r w:rsidRPr="001055B5">
        <w:rPr>
          <w:rFonts w:ascii="Times New Roman" w:hAnsi="Times New Roman" w:cs="Times New Roman"/>
          <w:sz w:val="24"/>
          <w:szCs w:val="24"/>
        </w:rPr>
        <w:t xml:space="preserve">are supervisory </w:t>
      </w:r>
      <w:r w:rsidR="000E779A" w:rsidRPr="001055B5">
        <w:rPr>
          <w:rFonts w:ascii="Times New Roman" w:hAnsi="Times New Roman" w:cs="Times New Roman"/>
          <w:sz w:val="24"/>
          <w:szCs w:val="24"/>
        </w:rPr>
        <w:t xml:space="preserve">reporting </w:t>
      </w:r>
      <w:r w:rsidRPr="001055B5">
        <w:rPr>
          <w:rFonts w:ascii="Times New Roman" w:hAnsi="Times New Roman" w:cs="Times New Roman"/>
          <w:sz w:val="24"/>
          <w:szCs w:val="24"/>
        </w:rPr>
        <w:t>and public disclosure. Accordingly companies have to submit to supervisory authorities all the information necessary for the purposes of supervision.</w:t>
      </w:r>
      <w:r w:rsidRPr="001055B5">
        <w:rPr>
          <w:rStyle w:val="Funotenzeichen"/>
          <w:rFonts w:ascii="Times New Roman" w:hAnsi="Times New Roman" w:cs="Times New Roman"/>
          <w:sz w:val="24"/>
          <w:szCs w:val="24"/>
        </w:rPr>
        <w:footnoteReference w:id="50"/>
      </w:r>
      <w:r w:rsidR="00560413">
        <w:rPr>
          <w:rFonts w:ascii="Times New Roman" w:hAnsi="Times New Roman" w:cs="Times New Roman"/>
          <w:sz w:val="24"/>
          <w:szCs w:val="24"/>
        </w:rPr>
        <w:t xml:space="preserve"> This</w:t>
      </w:r>
      <w:r w:rsidRPr="001055B5">
        <w:rPr>
          <w:rFonts w:ascii="Times New Roman" w:hAnsi="Times New Roman" w:cs="Times New Roman"/>
          <w:sz w:val="24"/>
          <w:szCs w:val="24"/>
        </w:rPr>
        <w:t xml:space="preserve"> also concerns the information related to run-off portfolios. Thus the impact of supervisory disclosure on the legacy business is the same as for any other portfolio and complications may arise only if the information concerning run-off portfolios is hard to obtain or systematise. </w:t>
      </w:r>
    </w:p>
    <w:p w:rsidR="00291F2E" w:rsidRPr="001055B5" w:rsidRDefault="00FC381F" w:rsidP="005B1DA4">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t>On the other hand</w:t>
      </w:r>
      <w:r w:rsidR="00C654EA" w:rsidRPr="001055B5">
        <w:rPr>
          <w:rFonts w:ascii="Times New Roman" w:hAnsi="Times New Roman" w:cs="Times New Roman"/>
          <w:sz w:val="24"/>
          <w:szCs w:val="24"/>
        </w:rPr>
        <w:t>,</w:t>
      </w:r>
      <w:r w:rsidRPr="001055B5">
        <w:rPr>
          <w:rFonts w:ascii="Times New Roman" w:hAnsi="Times New Roman" w:cs="Times New Roman"/>
          <w:sz w:val="24"/>
          <w:szCs w:val="24"/>
        </w:rPr>
        <w:t xml:space="preserve"> the role of public disclosure is quite different. According to Solvency II insurance and reinsurance undertakings shall disclose publicly information relating to their solvency and financial condition. Such report shall contain, among others, descriptions of </w:t>
      </w:r>
      <w:r w:rsidRPr="001055B5">
        <w:rPr>
          <w:rFonts w:ascii="Times New Roman" w:hAnsi="Times New Roman" w:cs="Times New Roman"/>
          <w:sz w:val="24"/>
          <w:szCs w:val="24"/>
        </w:rPr>
        <w:lastRenderedPageBreak/>
        <w:t xml:space="preserve">company’s </w:t>
      </w:r>
      <w:r w:rsidR="00994015" w:rsidRPr="001055B5">
        <w:rPr>
          <w:rFonts w:ascii="Times New Roman" w:hAnsi="Times New Roman" w:cs="Times New Roman"/>
          <w:sz w:val="24"/>
          <w:szCs w:val="24"/>
        </w:rPr>
        <w:t>business, risk exposure</w:t>
      </w:r>
      <w:r w:rsidRPr="001055B5">
        <w:rPr>
          <w:rFonts w:ascii="Times New Roman" w:hAnsi="Times New Roman" w:cs="Times New Roman"/>
          <w:sz w:val="24"/>
          <w:szCs w:val="24"/>
        </w:rPr>
        <w:t>, technical provisions and their methods of valuation.</w:t>
      </w:r>
      <w:r w:rsidRPr="001055B5">
        <w:rPr>
          <w:rStyle w:val="Funotenzeichen"/>
          <w:rFonts w:ascii="Times New Roman" w:hAnsi="Times New Roman" w:cs="Times New Roman"/>
          <w:sz w:val="24"/>
          <w:szCs w:val="24"/>
        </w:rPr>
        <w:footnoteReference w:id="51"/>
      </w:r>
      <w:r w:rsidR="00662CE7" w:rsidRPr="001055B5">
        <w:rPr>
          <w:rFonts w:ascii="Times New Roman" w:hAnsi="Times New Roman" w:cs="Times New Roman"/>
          <w:sz w:val="24"/>
          <w:szCs w:val="24"/>
        </w:rPr>
        <w:t xml:space="preserve"> </w:t>
      </w:r>
      <w:r w:rsidR="00994015" w:rsidRPr="001055B5">
        <w:rPr>
          <w:rFonts w:ascii="Times New Roman" w:hAnsi="Times New Roman" w:cs="Times New Roman"/>
          <w:sz w:val="24"/>
          <w:szCs w:val="24"/>
        </w:rPr>
        <w:t>Th</w:t>
      </w:r>
      <w:r w:rsidR="00C94522">
        <w:rPr>
          <w:rFonts w:ascii="Times New Roman" w:hAnsi="Times New Roman" w:cs="Times New Roman"/>
          <w:sz w:val="24"/>
          <w:szCs w:val="24"/>
        </w:rPr>
        <w:t>e</w:t>
      </w:r>
      <w:r w:rsidR="00994015" w:rsidRPr="001055B5">
        <w:rPr>
          <w:rFonts w:ascii="Times New Roman" w:hAnsi="Times New Roman" w:cs="Times New Roman"/>
          <w:sz w:val="24"/>
          <w:szCs w:val="24"/>
        </w:rPr>
        <w:t xml:space="preserve"> discontinued business has to be reported</w:t>
      </w:r>
      <w:r w:rsidR="00542230">
        <w:rPr>
          <w:rFonts w:ascii="Times New Roman" w:hAnsi="Times New Roman" w:cs="Times New Roman"/>
          <w:sz w:val="24"/>
          <w:szCs w:val="24"/>
        </w:rPr>
        <w:t xml:space="preserve"> as well</w:t>
      </w:r>
      <w:r w:rsidR="00994015" w:rsidRPr="001055B5">
        <w:rPr>
          <w:rFonts w:ascii="Times New Roman" w:hAnsi="Times New Roman" w:cs="Times New Roman"/>
          <w:sz w:val="24"/>
          <w:szCs w:val="24"/>
        </w:rPr>
        <w:t xml:space="preserve">. </w:t>
      </w:r>
      <w:r w:rsidR="00662CE7" w:rsidRPr="001055B5">
        <w:rPr>
          <w:rFonts w:ascii="Times New Roman" w:hAnsi="Times New Roman" w:cs="Times New Roman"/>
          <w:sz w:val="24"/>
          <w:szCs w:val="24"/>
        </w:rPr>
        <w:t xml:space="preserve">Therefore </w:t>
      </w:r>
      <w:r w:rsidR="00994015" w:rsidRPr="001055B5">
        <w:rPr>
          <w:rFonts w:ascii="Times New Roman" w:hAnsi="Times New Roman" w:cs="Times New Roman"/>
          <w:sz w:val="24"/>
          <w:szCs w:val="24"/>
        </w:rPr>
        <w:t xml:space="preserve">if a company has put a significant part of its business into run-off, it will be reflected in the report and </w:t>
      </w:r>
      <w:r w:rsidR="00662CE7" w:rsidRPr="001055B5">
        <w:rPr>
          <w:rFonts w:ascii="Times New Roman" w:hAnsi="Times New Roman" w:cs="Times New Roman"/>
          <w:sz w:val="24"/>
          <w:szCs w:val="24"/>
        </w:rPr>
        <w:t xml:space="preserve">is most likely to send a negative </w:t>
      </w:r>
      <w:r w:rsidR="00C654EA" w:rsidRPr="001055B5">
        <w:rPr>
          <w:rFonts w:ascii="Times New Roman" w:hAnsi="Times New Roman" w:cs="Times New Roman"/>
          <w:sz w:val="24"/>
          <w:szCs w:val="24"/>
        </w:rPr>
        <w:t>message</w:t>
      </w:r>
      <w:r w:rsidR="00662CE7" w:rsidRPr="001055B5">
        <w:rPr>
          <w:rFonts w:ascii="Times New Roman" w:hAnsi="Times New Roman" w:cs="Times New Roman"/>
          <w:sz w:val="24"/>
          <w:szCs w:val="24"/>
        </w:rPr>
        <w:t xml:space="preserve"> to policyholders, which can result in </w:t>
      </w:r>
      <w:r w:rsidR="00C06257">
        <w:rPr>
          <w:rFonts w:ascii="Times New Roman" w:hAnsi="Times New Roman" w:cs="Times New Roman"/>
          <w:sz w:val="24"/>
          <w:szCs w:val="24"/>
        </w:rPr>
        <w:t xml:space="preserve">a </w:t>
      </w:r>
      <w:r w:rsidR="00662CE7" w:rsidRPr="001055B5">
        <w:rPr>
          <w:rFonts w:ascii="Times New Roman" w:hAnsi="Times New Roman" w:cs="Times New Roman"/>
          <w:sz w:val="24"/>
          <w:szCs w:val="24"/>
        </w:rPr>
        <w:t>loss of client</w:t>
      </w:r>
      <w:r w:rsidR="00C654EA" w:rsidRPr="001055B5">
        <w:rPr>
          <w:rFonts w:ascii="Times New Roman" w:hAnsi="Times New Roman" w:cs="Times New Roman"/>
          <w:sz w:val="24"/>
          <w:szCs w:val="24"/>
        </w:rPr>
        <w:t>s</w:t>
      </w:r>
      <w:r w:rsidR="00662CE7" w:rsidRPr="001055B5">
        <w:rPr>
          <w:rFonts w:ascii="Times New Roman" w:hAnsi="Times New Roman" w:cs="Times New Roman"/>
          <w:sz w:val="24"/>
          <w:szCs w:val="24"/>
        </w:rPr>
        <w:t xml:space="preserve"> (current and potential) as well as general deterioration of financial position. </w:t>
      </w:r>
      <w:r w:rsidR="007D4371">
        <w:rPr>
          <w:rFonts w:ascii="Times New Roman" w:hAnsi="Times New Roman" w:cs="Times New Roman"/>
          <w:sz w:val="24"/>
          <w:szCs w:val="24"/>
        </w:rPr>
        <w:t>As a result</w:t>
      </w:r>
      <w:r w:rsidR="00311A1C" w:rsidRPr="001055B5">
        <w:rPr>
          <w:rFonts w:ascii="Times New Roman" w:hAnsi="Times New Roman" w:cs="Times New Roman"/>
          <w:sz w:val="24"/>
          <w:szCs w:val="24"/>
        </w:rPr>
        <w:t xml:space="preserve"> maintaining reputation becomes one of the main challenges for insurers with run-off portfolios, as was demonstrated by the results of </w:t>
      </w:r>
      <w:r w:rsidR="00994015" w:rsidRPr="001055B5">
        <w:rPr>
          <w:rFonts w:ascii="Times New Roman" w:hAnsi="Times New Roman" w:cs="Times New Roman"/>
          <w:sz w:val="24"/>
          <w:szCs w:val="24"/>
        </w:rPr>
        <w:t xml:space="preserve">the </w:t>
      </w:r>
      <w:r w:rsidR="00311A1C" w:rsidRPr="001055B5">
        <w:rPr>
          <w:rFonts w:ascii="Times New Roman" w:hAnsi="Times New Roman" w:cs="Times New Roman"/>
          <w:sz w:val="24"/>
          <w:szCs w:val="24"/>
        </w:rPr>
        <w:t>recent survey.</w:t>
      </w:r>
      <w:r w:rsidR="00311A1C" w:rsidRPr="001055B5">
        <w:rPr>
          <w:rStyle w:val="Funotenzeichen"/>
          <w:rFonts w:ascii="Times New Roman" w:hAnsi="Times New Roman" w:cs="Times New Roman"/>
          <w:sz w:val="24"/>
          <w:szCs w:val="24"/>
        </w:rPr>
        <w:footnoteReference w:id="52"/>
      </w:r>
      <w:r w:rsidR="00311A1C" w:rsidRPr="001055B5">
        <w:rPr>
          <w:rFonts w:ascii="Times New Roman" w:hAnsi="Times New Roman" w:cs="Times New Roman"/>
          <w:sz w:val="24"/>
          <w:szCs w:val="24"/>
        </w:rPr>
        <w:t xml:space="preserve"> </w:t>
      </w:r>
      <w:r w:rsidR="00A4575A" w:rsidRPr="001055B5">
        <w:rPr>
          <w:rFonts w:ascii="Times New Roman" w:hAnsi="Times New Roman" w:cs="Times New Roman"/>
          <w:sz w:val="24"/>
          <w:szCs w:val="24"/>
        </w:rPr>
        <w:t xml:space="preserve">This hypothesis </w:t>
      </w:r>
      <w:r w:rsidR="006A7B01" w:rsidRPr="001055B5">
        <w:rPr>
          <w:rFonts w:ascii="Times New Roman" w:hAnsi="Times New Roman" w:cs="Times New Roman"/>
          <w:sz w:val="24"/>
          <w:szCs w:val="24"/>
        </w:rPr>
        <w:t xml:space="preserve">is an interesting </w:t>
      </w:r>
      <w:r w:rsidR="00A4575A" w:rsidRPr="001055B5">
        <w:rPr>
          <w:rFonts w:ascii="Times New Roman" w:hAnsi="Times New Roman" w:cs="Times New Roman"/>
          <w:sz w:val="24"/>
          <w:szCs w:val="24"/>
        </w:rPr>
        <w:t xml:space="preserve">subject </w:t>
      </w:r>
      <w:r w:rsidR="006A7B01" w:rsidRPr="001055B5">
        <w:rPr>
          <w:rFonts w:ascii="Times New Roman" w:hAnsi="Times New Roman" w:cs="Times New Roman"/>
          <w:sz w:val="24"/>
          <w:szCs w:val="24"/>
        </w:rPr>
        <w:t>for a</w:t>
      </w:r>
      <w:r w:rsidR="00A4575A" w:rsidRPr="001055B5">
        <w:rPr>
          <w:rFonts w:ascii="Times New Roman" w:hAnsi="Times New Roman" w:cs="Times New Roman"/>
          <w:sz w:val="24"/>
          <w:szCs w:val="24"/>
        </w:rPr>
        <w:t xml:space="preserve"> further research, which could </w:t>
      </w:r>
      <w:r w:rsidR="0032383B">
        <w:rPr>
          <w:rFonts w:ascii="Times New Roman" w:hAnsi="Times New Roman" w:cs="Times New Roman"/>
          <w:sz w:val="24"/>
          <w:szCs w:val="24"/>
        </w:rPr>
        <w:t>investigate</w:t>
      </w:r>
      <w:r w:rsidR="00A4575A" w:rsidRPr="001055B5">
        <w:rPr>
          <w:rFonts w:ascii="Times New Roman" w:hAnsi="Times New Roman" w:cs="Times New Roman"/>
          <w:sz w:val="24"/>
          <w:szCs w:val="24"/>
        </w:rPr>
        <w:t xml:space="preserve"> the policyholder</w:t>
      </w:r>
      <w:r w:rsidR="00A64E8D" w:rsidRPr="001055B5">
        <w:rPr>
          <w:rFonts w:ascii="Times New Roman" w:hAnsi="Times New Roman" w:cs="Times New Roman"/>
          <w:sz w:val="24"/>
          <w:szCs w:val="24"/>
        </w:rPr>
        <w:t>s’ reception of</w:t>
      </w:r>
      <w:r w:rsidR="00A4575A" w:rsidRPr="001055B5">
        <w:rPr>
          <w:rFonts w:ascii="Times New Roman" w:hAnsi="Times New Roman" w:cs="Times New Roman"/>
          <w:sz w:val="24"/>
          <w:szCs w:val="24"/>
        </w:rPr>
        <w:t xml:space="preserve"> a company’s decision to discontinue certain lines of its business and possible financial implications</w:t>
      </w:r>
      <w:r w:rsidR="0032383B">
        <w:rPr>
          <w:rFonts w:ascii="Times New Roman" w:hAnsi="Times New Roman" w:cs="Times New Roman"/>
          <w:sz w:val="24"/>
          <w:szCs w:val="24"/>
        </w:rPr>
        <w:t xml:space="preserve"> of such decision</w:t>
      </w:r>
      <w:r w:rsidR="00A4575A" w:rsidRPr="001055B5">
        <w:rPr>
          <w:rFonts w:ascii="Times New Roman" w:hAnsi="Times New Roman" w:cs="Times New Roman"/>
          <w:sz w:val="24"/>
          <w:szCs w:val="24"/>
        </w:rPr>
        <w:t>.</w:t>
      </w:r>
    </w:p>
    <w:p w:rsidR="001A1207" w:rsidRPr="001055B5" w:rsidRDefault="00662CE7" w:rsidP="005B1DA4">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t xml:space="preserve">Moreover, rating agencies are conducting their </w:t>
      </w:r>
      <w:r w:rsidR="00291F2E" w:rsidRPr="001055B5">
        <w:rPr>
          <w:rFonts w:ascii="Times New Roman" w:hAnsi="Times New Roman" w:cs="Times New Roman"/>
          <w:sz w:val="24"/>
          <w:szCs w:val="24"/>
        </w:rPr>
        <w:t>assessments</w:t>
      </w:r>
      <w:r w:rsidRPr="001055B5">
        <w:rPr>
          <w:rFonts w:ascii="Times New Roman" w:hAnsi="Times New Roman" w:cs="Times New Roman"/>
          <w:sz w:val="24"/>
          <w:szCs w:val="24"/>
        </w:rPr>
        <w:t xml:space="preserve"> based on the information obtained during public disclosure</w:t>
      </w:r>
      <w:r w:rsidR="00180232" w:rsidRPr="001055B5">
        <w:rPr>
          <w:rFonts w:ascii="Times New Roman" w:hAnsi="Times New Roman" w:cs="Times New Roman"/>
          <w:sz w:val="24"/>
          <w:szCs w:val="24"/>
        </w:rPr>
        <w:t>s</w:t>
      </w:r>
      <w:r w:rsidRPr="001055B5">
        <w:rPr>
          <w:rFonts w:ascii="Times New Roman" w:hAnsi="Times New Roman" w:cs="Times New Roman"/>
          <w:sz w:val="24"/>
          <w:szCs w:val="24"/>
        </w:rPr>
        <w:t>. The impact of run-off portfolio on company’s rating is at best neutral, considering such portfolio is well managed.</w:t>
      </w:r>
      <w:r w:rsidRPr="001055B5">
        <w:rPr>
          <w:rStyle w:val="Funotenzeichen"/>
          <w:rFonts w:ascii="Times New Roman" w:hAnsi="Times New Roman" w:cs="Times New Roman"/>
          <w:sz w:val="24"/>
          <w:szCs w:val="24"/>
        </w:rPr>
        <w:footnoteReference w:id="53"/>
      </w:r>
      <w:r w:rsidRPr="001055B5">
        <w:rPr>
          <w:rFonts w:ascii="Times New Roman" w:hAnsi="Times New Roman" w:cs="Times New Roman"/>
          <w:sz w:val="24"/>
          <w:szCs w:val="24"/>
        </w:rPr>
        <w:t xml:space="preserve"> Furthermore, according to Solvency II, as was discussed above</w:t>
      </w:r>
      <w:r w:rsidR="00A76F09" w:rsidRPr="001055B5">
        <w:rPr>
          <w:rFonts w:ascii="Times New Roman" w:hAnsi="Times New Roman" w:cs="Times New Roman"/>
          <w:sz w:val="24"/>
          <w:szCs w:val="24"/>
        </w:rPr>
        <w:t>, having</w:t>
      </w:r>
      <w:r w:rsidRPr="001055B5">
        <w:rPr>
          <w:rFonts w:ascii="Times New Roman" w:hAnsi="Times New Roman" w:cs="Times New Roman"/>
          <w:sz w:val="24"/>
          <w:szCs w:val="24"/>
        </w:rPr>
        <w:t xml:space="preserve"> poorly rated reinsurers</w:t>
      </w:r>
      <w:r w:rsidR="00352FE0" w:rsidRPr="001055B5">
        <w:rPr>
          <w:rFonts w:ascii="Times New Roman" w:hAnsi="Times New Roman" w:cs="Times New Roman"/>
          <w:sz w:val="24"/>
          <w:szCs w:val="24"/>
        </w:rPr>
        <w:t>,</w:t>
      </w:r>
      <w:r w:rsidRPr="001055B5">
        <w:rPr>
          <w:rFonts w:ascii="Times New Roman" w:hAnsi="Times New Roman" w:cs="Times New Roman"/>
          <w:sz w:val="24"/>
          <w:szCs w:val="24"/>
        </w:rPr>
        <w:t xml:space="preserve"> results in higher capital charge for insurance firms</w:t>
      </w:r>
      <w:r w:rsidR="000E779A" w:rsidRPr="001055B5">
        <w:rPr>
          <w:rFonts w:ascii="Times New Roman" w:hAnsi="Times New Roman" w:cs="Times New Roman"/>
          <w:sz w:val="24"/>
          <w:szCs w:val="24"/>
        </w:rPr>
        <w:t xml:space="preserve"> through the counterparty default risk</w:t>
      </w:r>
      <w:r w:rsidRPr="001055B5">
        <w:rPr>
          <w:rFonts w:ascii="Times New Roman" w:hAnsi="Times New Roman" w:cs="Times New Roman"/>
          <w:sz w:val="24"/>
          <w:szCs w:val="24"/>
        </w:rPr>
        <w:t xml:space="preserve">. </w:t>
      </w:r>
      <w:r w:rsidR="00A76F09" w:rsidRPr="001055B5">
        <w:rPr>
          <w:rFonts w:ascii="Times New Roman" w:hAnsi="Times New Roman" w:cs="Times New Roman"/>
          <w:sz w:val="24"/>
          <w:szCs w:val="24"/>
        </w:rPr>
        <w:t>As a result</w:t>
      </w:r>
      <w:r w:rsidR="0085294D" w:rsidRPr="001055B5">
        <w:rPr>
          <w:rFonts w:ascii="Times New Roman" w:hAnsi="Times New Roman" w:cs="Times New Roman"/>
          <w:sz w:val="24"/>
          <w:szCs w:val="24"/>
        </w:rPr>
        <w:t xml:space="preserve"> run-off portfolio</w:t>
      </w:r>
      <w:r w:rsidR="00352FE0" w:rsidRPr="001055B5">
        <w:rPr>
          <w:rFonts w:ascii="Times New Roman" w:hAnsi="Times New Roman" w:cs="Times New Roman"/>
          <w:sz w:val="24"/>
          <w:szCs w:val="24"/>
        </w:rPr>
        <w:t>s</w:t>
      </w:r>
      <w:r w:rsidR="0085294D" w:rsidRPr="001055B5">
        <w:rPr>
          <w:rFonts w:ascii="Times New Roman" w:hAnsi="Times New Roman" w:cs="Times New Roman"/>
          <w:sz w:val="24"/>
          <w:szCs w:val="24"/>
        </w:rPr>
        <w:t xml:space="preserve"> </w:t>
      </w:r>
      <w:r w:rsidR="00A76F09" w:rsidRPr="001055B5">
        <w:rPr>
          <w:rFonts w:ascii="Times New Roman" w:hAnsi="Times New Roman" w:cs="Times New Roman"/>
          <w:sz w:val="24"/>
          <w:szCs w:val="24"/>
        </w:rPr>
        <w:t>not only create additional reporting obligations</w:t>
      </w:r>
      <w:r w:rsidR="0085294D" w:rsidRPr="001055B5">
        <w:rPr>
          <w:rFonts w:ascii="Times New Roman" w:hAnsi="Times New Roman" w:cs="Times New Roman"/>
          <w:sz w:val="24"/>
          <w:szCs w:val="24"/>
        </w:rPr>
        <w:t xml:space="preserve">, but also may have serious financial and reputational consequences for the firms. </w:t>
      </w:r>
      <w:r w:rsidRPr="001055B5">
        <w:rPr>
          <w:rFonts w:ascii="Times New Roman" w:hAnsi="Times New Roman" w:cs="Times New Roman"/>
          <w:sz w:val="24"/>
          <w:szCs w:val="24"/>
        </w:rPr>
        <w:t xml:space="preserve"> </w:t>
      </w:r>
    </w:p>
    <w:p w:rsidR="00120794" w:rsidRPr="001055B5" w:rsidRDefault="00120794" w:rsidP="005B1DA4">
      <w:pPr>
        <w:spacing w:after="0" w:line="360" w:lineRule="auto"/>
        <w:ind w:firstLine="720"/>
        <w:jc w:val="both"/>
        <w:rPr>
          <w:rFonts w:ascii="Times New Roman" w:hAnsi="Times New Roman" w:cs="Times New Roman"/>
          <w:sz w:val="24"/>
          <w:szCs w:val="24"/>
        </w:rPr>
      </w:pPr>
    </w:p>
    <w:p w:rsidR="0085294D" w:rsidRPr="001055B5" w:rsidRDefault="00D534A3" w:rsidP="00E073D1">
      <w:pPr>
        <w:spacing w:after="120" w:line="360" w:lineRule="auto"/>
        <w:ind w:firstLine="720"/>
        <w:jc w:val="both"/>
        <w:rPr>
          <w:rFonts w:ascii="Times New Roman" w:hAnsi="Times New Roman" w:cs="Times New Roman"/>
          <w:b/>
          <w:sz w:val="24"/>
          <w:szCs w:val="24"/>
        </w:rPr>
      </w:pPr>
      <w:r w:rsidRPr="001055B5">
        <w:rPr>
          <w:rFonts w:ascii="Times New Roman" w:hAnsi="Times New Roman" w:cs="Times New Roman"/>
          <w:b/>
          <w:sz w:val="24"/>
          <w:szCs w:val="24"/>
        </w:rPr>
        <w:t xml:space="preserve">3.3. </w:t>
      </w:r>
      <w:r w:rsidR="00A80DF0" w:rsidRPr="001055B5">
        <w:rPr>
          <w:rFonts w:ascii="Times New Roman" w:hAnsi="Times New Roman" w:cs="Times New Roman"/>
          <w:b/>
          <w:sz w:val="24"/>
          <w:szCs w:val="24"/>
        </w:rPr>
        <w:t>Specific i</w:t>
      </w:r>
      <w:r w:rsidR="00120794" w:rsidRPr="001055B5">
        <w:rPr>
          <w:rFonts w:ascii="Times New Roman" w:hAnsi="Times New Roman" w:cs="Times New Roman"/>
          <w:b/>
          <w:sz w:val="24"/>
          <w:szCs w:val="24"/>
        </w:rPr>
        <w:t>mplications for the</w:t>
      </w:r>
      <w:r w:rsidR="007319C2" w:rsidRPr="001055B5">
        <w:rPr>
          <w:rFonts w:ascii="Times New Roman" w:hAnsi="Times New Roman" w:cs="Times New Roman"/>
          <w:b/>
          <w:sz w:val="24"/>
          <w:szCs w:val="24"/>
        </w:rPr>
        <w:t xml:space="preserve"> non-life</w:t>
      </w:r>
      <w:r w:rsidR="00120794" w:rsidRPr="001055B5">
        <w:rPr>
          <w:rFonts w:ascii="Times New Roman" w:hAnsi="Times New Roman" w:cs="Times New Roman"/>
          <w:b/>
          <w:sz w:val="24"/>
          <w:szCs w:val="24"/>
        </w:rPr>
        <w:t xml:space="preserve"> </w:t>
      </w:r>
      <w:r w:rsidR="001E059E" w:rsidRPr="001055B5">
        <w:rPr>
          <w:rFonts w:ascii="Times New Roman" w:hAnsi="Times New Roman" w:cs="Times New Roman"/>
          <w:b/>
          <w:sz w:val="24"/>
          <w:szCs w:val="24"/>
        </w:rPr>
        <w:t>(re)</w:t>
      </w:r>
      <w:r w:rsidR="00B06191" w:rsidRPr="001055B5">
        <w:rPr>
          <w:rFonts w:ascii="Times New Roman" w:hAnsi="Times New Roman" w:cs="Times New Roman"/>
          <w:b/>
          <w:sz w:val="24"/>
          <w:szCs w:val="24"/>
        </w:rPr>
        <w:t xml:space="preserve">insurance </w:t>
      </w:r>
      <w:r w:rsidR="00120794" w:rsidRPr="001055B5">
        <w:rPr>
          <w:rFonts w:ascii="Times New Roman" w:hAnsi="Times New Roman" w:cs="Times New Roman"/>
          <w:b/>
          <w:sz w:val="24"/>
          <w:szCs w:val="24"/>
        </w:rPr>
        <w:t>companies solely in run-off</w:t>
      </w:r>
    </w:p>
    <w:p w:rsidR="00967468" w:rsidRPr="001055B5" w:rsidRDefault="00120794" w:rsidP="00B42489">
      <w:pPr>
        <w:spacing w:after="0" w:line="360" w:lineRule="auto"/>
        <w:jc w:val="both"/>
        <w:rPr>
          <w:rFonts w:ascii="Times New Roman" w:hAnsi="Times New Roman" w:cs="Times New Roman"/>
          <w:sz w:val="24"/>
          <w:szCs w:val="24"/>
        </w:rPr>
      </w:pPr>
      <w:r w:rsidRPr="001055B5">
        <w:rPr>
          <w:rFonts w:ascii="Times New Roman" w:hAnsi="Times New Roman" w:cs="Times New Roman"/>
          <w:sz w:val="24"/>
          <w:szCs w:val="24"/>
        </w:rPr>
        <w:t xml:space="preserve">The companies that have decided to completely exit from the insurance market and </w:t>
      </w:r>
      <w:r w:rsidR="009B2FA8">
        <w:rPr>
          <w:rFonts w:ascii="Times New Roman" w:hAnsi="Times New Roman" w:cs="Times New Roman"/>
          <w:sz w:val="24"/>
          <w:szCs w:val="24"/>
        </w:rPr>
        <w:t xml:space="preserve">discontinue </w:t>
      </w:r>
      <w:r w:rsidRPr="001055B5">
        <w:rPr>
          <w:rFonts w:ascii="Times New Roman" w:hAnsi="Times New Roman" w:cs="Times New Roman"/>
          <w:sz w:val="24"/>
          <w:szCs w:val="24"/>
        </w:rPr>
        <w:t>all of their insurance books of business</w:t>
      </w:r>
      <w:r w:rsidR="002371EE" w:rsidRPr="001055B5">
        <w:rPr>
          <w:rFonts w:ascii="Times New Roman" w:hAnsi="Times New Roman" w:cs="Times New Roman"/>
          <w:sz w:val="24"/>
          <w:szCs w:val="24"/>
        </w:rPr>
        <w:t xml:space="preserve"> (pure run-off companies)</w:t>
      </w:r>
      <w:r w:rsidRPr="001055B5">
        <w:rPr>
          <w:rFonts w:ascii="Times New Roman" w:hAnsi="Times New Roman" w:cs="Times New Roman"/>
          <w:sz w:val="24"/>
          <w:szCs w:val="24"/>
        </w:rPr>
        <w:t xml:space="preserve"> </w:t>
      </w:r>
      <w:r w:rsidR="002371EE" w:rsidRPr="001055B5">
        <w:rPr>
          <w:rFonts w:ascii="Times New Roman" w:hAnsi="Times New Roman" w:cs="Times New Roman"/>
          <w:sz w:val="24"/>
          <w:szCs w:val="24"/>
        </w:rPr>
        <w:t xml:space="preserve">will face serious difficulties in case they have to comply with Solvency II requirements. </w:t>
      </w:r>
      <w:r w:rsidR="00E82167" w:rsidRPr="001055B5">
        <w:rPr>
          <w:rFonts w:ascii="Times New Roman" w:hAnsi="Times New Roman" w:cs="Times New Roman"/>
          <w:sz w:val="24"/>
          <w:szCs w:val="24"/>
        </w:rPr>
        <w:t xml:space="preserve">Although neither the rules of </w:t>
      </w:r>
      <w:r w:rsidR="00CA3F0C">
        <w:rPr>
          <w:rFonts w:ascii="Times New Roman" w:hAnsi="Times New Roman" w:cs="Times New Roman"/>
          <w:sz w:val="24"/>
          <w:szCs w:val="24"/>
        </w:rPr>
        <w:t>Solvency II</w:t>
      </w:r>
      <w:r w:rsidR="002371EE" w:rsidRPr="001055B5">
        <w:rPr>
          <w:rFonts w:ascii="Times New Roman" w:hAnsi="Times New Roman" w:cs="Times New Roman"/>
          <w:sz w:val="24"/>
          <w:szCs w:val="24"/>
        </w:rPr>
        <w:t xml:space="preserve"> </w:t>
      </w:r>
      <w:r w:rsidR="00E82167" w:rsidRPr="001055B5">
        <w:rPr>
          <w:rFonts w:ascii="Times New Roman" w:hAnsi="Times New Roman" w:cs="Times New Roman"/>
          <w:sz w:val="24"/>
          <w:szCs w:val="24"/>
        </w:rPr>
        <w:t xml:space="preserve">nor of the Solvency I </w:t>
      </w:r>
      <w:r w:rsidR="002371EE" w:rsidRPr="001055B5">
        <w:rPr>
          <w:rFonts w:ascii="Times New Roman" w:hAnsi="Times New Roman" w:cs="Times New Roman"/>
          <w:sz w:val="24"/>
          <w:szCs w:val="24"/>
        </w:rPr>
        <w:t xml:space="preserve">are </w:t>
      </w:r>
      <w:r w:rsidR="00E82167" w:rsidRPr="001055B5">
        <w:rPr>
          <w:rFonts w:ascii="Times New Roman" w:hAnsi="Times New Roman" w:cs="Times New Roman"/>
          <w:sz w:val="24"/>
          <w:szCs w:val="24"/>
        </w:rPr>
        <w:t>a</w:t>
      </w:r>
      <w:r w:rsidR="002371EE" w:rsidRPr="001055B5">
        <w:rPr>
          <w:rFonts w:ascii="Times New Roman" w:hAnsi="Times New Roman" w:cs="Times New Roman"/>
          <w:sz w:val="24"/>
          <w:szCs w:val="24"/>
        </w:rPr>
        <w:t>djusted to the particular circumstances of insurers and reinsurers in run-off</w:t>
      </w:r>
      <w:r w:rsidR="00E82167" w:rsidRPr="001055B5">
        <w:rPr>
          <w:rFonts w:ascii="Times New Roman" w:hAnsi="Times New Roman" w:cs="Times New Roman"/>
          <w:sz w:val="24"/>
          <w:szCs w:val="24"/>
        </w:rPr>
        <w:t>, the impact of the former is more profound</w:t>
      </w:r>
      <w:r w:rsidR="002371EE" w:rsidRPr="001055B5">
        <w:rPr>
          <w:rFonts w:ascii="Times New Roman" w:hAnsi="Times New Roman" w:cs="Times New Roman"/>
          <w:sz w:val="24"/>
          <w:szCs w:val="24"/>
        </w:rPr>
        <w:t xml:space="preserve">. </w:t>
      </w:r>
    </w:p>
    <w:p w:rsidR="00120794" w:rsidRPr="001055B5" w:rsidRDefault="00967468" w:rsidP="005B1DA4">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t xml:space="preserve">First of all as a result of ceasing to underwrite new policies the amounts of premium income decrease substantially. At the same time </w:t>
      </w:r>
      <w:r w:rsidR="00C60BA2" w:rsidRPr="001055B5">
        <w:rPr>
          <w:rFonts w:ascii="Times New Roman" w:hAnsi="Times New Roman" w:cs="Times New Roman"/>
          <w:sz w:val="24"/>
          <w:szCs w:val="24"/>
        </w:rPr>
        <w:t>the firms</w:t>
      </w:r>
      <w:r w:rsidRPr="001055B5">
        <w:rPr>
          <w:rFonts w:ascii="Times New Roman" w:hAnsi="Times New Roman" w:cs="Times New Roman"/>
          <w:sz w:val="24"/>
          <w:szCs w:val="24"/>
        </w:rPr>
        <w:t xml:space="preserve"> are still required to hold enough capital to cover the</w:t>
      </w:r>
      <w:r w:rsidR="00C611F0">
        <w:rPr>
          <w:rFonts w:ascii="Times New Roman" w:hAnsi="Times New Roman" w:cs="Times New Roman"/>
          <w:sz w:val="24"/>
          <w:szCs w:val="24"/>
        </w:rPr>
        <w:t>ir</w:t>
      </w:r>
      <w:r w:rsidRPr="001055B5">
        <w:rPr>
          <w:rFonts w:ascii="Times New Roman" w:hAnsi="Times New Roman" w:cs="Times New Roman"/>
          <w:sz w:val="24"/>
          <w:szCs w:val="24"/>
        </w:rPr>
        <w:t xml:space="preserve"> obligations</w:t>
      </w:r>
      <w:r w:rsidR="008B488E" w:rsidRPr="001055B5">
        <w:rPr>
          <w:rFonts w:ascii="Times New Roman" w:hAnsi="Times New Roman" w:cs="Times New Roman"/>
          <w:sz w:val="24"/>
          <w:szCs w:val="24"/>
        </w:rPr>
        <w:t xml:space="preserve"> until the insurance contracts </w:t>
      </w:r>
      <w:r w:rsidRPr="001055B5">
        <w:rPr>
          <w:rFonts w:ascii="Times New Roman" w:hAnsi="Times New Roman" w:cs="Times New Roman"/>
          <w:sz w:val="24"/>
          <w:szCs w:val="24"/>
        </w:rPr>
        <w:t>run their full course. On top of that, under Sol</w:t>
      </w:r>
      <w:r w:rsidR="00100A7D" w:rsidRPr="001055B5">
        <w:rPr>
          <w:rFonts w:ascii="Times New Roman" w:hAnsi="Times New Roman" w:cs="Times New Roman"/>
          <w:sz w:val="24"/>
          <w:szCs w:val="24"/>
        </w:rPr>
        <w:t xml:space="preserve">vency II, the reserve risk dominates the risk profile of run-off undertaking requiring it to hold large amounts of capital to cover the risk exposure. However the company does not have </w:t>
      </w:r>
      <w:r w:rsidR="00100A7D" w:rsidRPr="001055B5">
        <w:rPr>
          <w:rFonts w:ascii="Times New Roman" w:hAnsi="Times New Roman" w:cs="Times New Roman"/>
          <w:sz w:val="24"/>
          <w:szCs w:val="24"/>
        </w:rPr>
        <w:lastRenderedPageBreak/>
        <w:t>any sufficiently profitable lines of business anymore to generate such additional capital</w:t>
      </w:r>
      <w:r w:rsidR="00DA293E" w:rsidRPr="001055B5">
        <w:rPr>
          <w:rFonts w:ascii="Times New Roman" w:hAnsi="Times New Roman" w:cs="Times New Roman"/>
          <w:sz w:val="24"/>
          <w:szCs w:val="24"/>
        </w:rPr>
        <w:t xml:space="preserve">. Moreover </w:t>
      </w:r>
      <w:r w:rsidR="00F73643" w:rsidRPr="001055B5">
        <w:rPr>
          <w:rFonts w:ascii="Times New Roman" w:hAnsi="Times New Roman" w:cs="Times New Roman"/>
          <w:sz w:val="24"/>
          <w:szCs w:val="24"/>
        </w:rPr>
        <w:t>it</w:t>
      </w:r>
      <w:r w:rsidR="00DA293E" w:rsidRPr="001055B5">
        <w:rPr>
          <w:rFonts w:ascii="Times New Roman" w:hAnsi="Times New Roman" w:cs="Times New Roman"/>
          <w:sz w:val="24"/>
          <w:szCs w:val="24"/>
        </w:rPr>
        <w:t xml:space="preserve"> still has to comply with the requirements of all the pillars of Solvency II, discussed earlier in this article.</w:t>
      </w:r>
      <w:r w:rsidR="00100A7D" w:rsidRPr="001055B5">
        <w:rPr>
          <w:rFonts w:ascii="Times New Roman" w:hAnsi="Times New Roman" w:cs="Times New Roman"/>
          <w:sz w:val="24"/>
          <w:szCs w:val="24"/>
        </w:rPr>
        <w:t xml:space="preserve"> </w:t>
      </w:r>
      <w:r w:rsidR="00F73643" w:rsidRPr="001055B5">
        <w:rPr>
          <w:rFonts w:ascii="Times New Roman" w:hAnsi="Times New Roman" w:cs="Times New Roman"/>
          <w:sz w:val="24"/>
          <w:szCs w:val="24"/>
        </w:rPr>
        <w:t xml:space="preserve">As a result some of the run-off companies risk failing to comply with MCR which will ultimately lead to revocation of their authorisation and winding-up. This will have negative consequences for policyholders who still have ongoing contracts with the company as such reinsurer or insurer </w:t>
      </w:r>
      <w:r w:rsidR="00D73F3A" w:rsidRPr="001055B5">
        <w:rPr>
          <w:rFonts w:ascii="Times New Roman" w:hAnsi="Times New Roman" w:cs="Times New Roman"/>
          <w:sz w:val="24"/>
          <w:szCs w:val="24"/>
        </w:rPr>
        <w:t xml:space="preserve">will </w:t>
      </w:r>
      <w:r w:rsidR="00F73643" w:rsidRPr="001055B5">
        <w:rPr>
          <w:rFonts w:ascii="Times New Roman" w:hAnsi="Times New Roman" w:cs="Times New Roman"/>
          <w:sz w:val="24"/>
          <w:szCs w:val="24"/>
        </w:rPr>
        <w:t>most likely b</w:t>
      </w:r>
      <w:r w:rsidR="00D73F3A" w:rsidRPr="001055B5">
        <w:rPr>
          <w:rFonts w:ascii="Times New Roman" w:hAnsi="Times New Roman" w:cs="Times New Roman"/>
          <w:sz w:val="24"/>
          <w:szCs w:val="24"/>
        </w:rPr>
        <w:t>e</w:t>
      </w:r>
      <w:r w:rsidR="00F73643" w:rsidRPr="001055B5">
        <w:rPr>
          <w:rFonts w:ascii="Times New Roman" w:hAnsi="Times New Roman" w:cs="Times New Roman"/>
          <w:sz w:val="24"/>
          <w:szCs w:val="24"/>
        </w:rPr>
        <w:t xml:space="preserve"> unable to pay its contractual obligations to </w:t>
      </w:r>
      <w:r w:rsidR="00020FBE">
        <w:rPr>
          <w:rFonts w:ascii="Times New Roman" w:hAnsi="Times New Roman" w:cs="Times New Roman"/>
          <w:sz w:val="24"/>
          <w:szCs w:val="24"/>
        </w:rPr>
        <w:t>the</w:t>
      </w:r>
      <w:r w:rsidR="00634942">
        <w:rPr>
          <w:rFonts w:ascii="Times New Roman" w:hAnsi="Times New Roman" w:cs="Times New Roman"/>
          <w:sz w:val="24"/>
          <w:szCs w:val="24"/>
        </w:rPr>
        <w:t xml:space="preserve"> </w:t>
      </w:r>
      <w:r w:rsidR="00F73643" w:rsidRPr="001055B5">
        <w:rPr>
          <w:rFonts w:ascii="Times New Roman" w:hAnsi="Times New Roman" w:cs="Times New Roman"/>
          <w:sz w:val="24"/>
          <w:szCs w:val="24"/>
        </w:rPr>
        <w:t>policyholders</w:t>
      </w:r>
      <w:r w:rsidR="00621BA5" w:rsidRPr="001055B5">
        <w:rPr>
          <w:rFonts w:ascii="Times New Roman" w:hAnsi="Times New Roman" w:cs="Times New Roman"/>
          <w:sz w:val="24"/>
          <w:szCs w:val="24"/>
        </w:rPr>
        <w:t xml:space="preserve"> in full</w:t>
      </w:r>
      <w:r w:rsidR="00F73643" w:rsidRPr="001055B5">
        <w:rPr>
          <w:rFonts w:ascii="Times New Roman" w:hAnsi="Times New Roman" w:cs="Times New Roman"/>
          <w:sz w:val="24"/>
          <w:szCs w:val="24"/>
        </w:rPr>
        <w:t>.</w:t>
      </w:r>
      <w:r w:rsidR="00F73643" w:rsidRPr="001055B5">
        <w:rPr>
          <w:rStyle w:val="Funotenzeichen"/>
          <w:rFonts w:ascii="Times New Roman" w:hAnsi="Times New Roman" w:cs="Times New Roman"/>
          <w:sz w:val="24"/>
          <w:szCs w:val="24"/>
        </w:rPr>
        <w:footnoteReference w:id="54"/>
      </w:r>
      <w:r w:rsidR="00F73643" w:rsidRPr="001055B5">
        <w:rPr>
          <w:rFonts w:ascii="Times New Roman" w:hAnsi="Times New Roman" w:cs="Times New Roman"/>
          <w:sz w:val="24"/>
          <w:szCs w:val="24"/>
        </w:rPr>
        <w:t xml:space="preserve"> </w:t>
      </w:r>
      <w:r w:rsidR="00D73F3A" w:rsidRPr="001055B5">
        <w:rPr>
          <w:rFonts w:ascii="Times New Roman" w:hAnsi="Times New Roman" w:cs="Times New Roman"/>
          <w:sz w:val="24"/>
          <w:szCs w:val="24"/>
        </w:rPr>
        <w:t>Thus the effectiveness of policyholder protection is undermined, which is contrary to the goals of</w:t>
      </w:r>
      <w:r w:rsidR="00585160" w:rsidRPr="001055B5">
        <w:rPr>
          <w:rFonts w:ascii="Times New Roman" w:hAnsi="Times New Roman" w:cs="Times New Roman"/>
          <w:sz w:val="24"/>
          <w:szCs w:val="24"/>
        </w:rPr>
        <w:t xml:space="preserve"> the</w:t>
      </w:r>
      <w:r w:rsidR="00D73F3A" w:rsidRPr="001055B5">
        <w:rPr>
          <w:rFonts w:ascii="Times New Roman" w:hAnsi="Times New Roman" w:cs="Times New Roman"/>
          <w:sz w:val="24"/>
          <w:szCs w:val="24"/>
        </w:rPr>
        <w:t xml:space="preserve"> Solvency II regime.</w:t>
      </w:r>
    </w:p>
    <w:p w:rsidR="008B6BAF" w:rsidRPr="001055B5" w:rsidRDefault="00843631" w:rsidP="005B1DA4">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t xml:space="preserve">Recognising the specific situation of such undertakings, the </w:t>
      </w:r>
      <w:r w:rsidR="00621BA5" w:rsidRPr="001055B5">
        <w:rPr>
          <w:rFonts w:ascii="Times New Roman" w:hAnsi="Times New Roman" w:cs="Times New Roman"/>
          <w:sz w:val="24"/>
          <w:szCs w:val="24"/>
        </w:rPr>
        <w:t>Solvency</w:t>
      </w:r>
      <w:r w:rsidRPr="001055B5">
        <w:rPr>
          <w:rFonts w:ascii="Times New Roman" w:hAnsi="Times New Roman" w:cs="Times New Roman"/>
          <w:sz w:val="24"/>
          <w:szCs w:val="24"/>
        </w:rPr>
        <w:t xml:space="preserve"> II Directive </w:t>
      </w:r>
      <w:r w:rsidR="000D1A4D" w:rsidRPr="001055B5">
        <w:rPr>
          <w:rFonts w:ascii="Times New Roman" w:hAnsi="Times New Roman" w:cs="Times New Roman"/>
          <w:sz w:val="24"/>
          <w:szCs w:val="24"/>
        </w:rPr>
        <w:t>stipulate</w:t>
      </w:r>
      <w:r w:rsidR="00621BA5" w:rsidRPr="001055B5">
        <w:rPr>
          <w:rFonts w:ascii="Times New Roman" w:hAnsi="Times New Roman" w:cs="Times New Roman"/>
          <w:sz w:val="24"/>
          <w:szCs w:val="24"/>
        </w:rPr>
        <w:t>s</w:t>
      </w:r>
      <w:r w:rsidR="000D1A4D" w:rsidRPr="001055B5">
        <w:rPr>
          <w:rFonts w:ascii="Times New Roman" w:hAnsi="Times New Roman" w:cs="Times New Roman"/>
          <w:sz w:val="24"/>
          <w:szCs w:val="24"/>
        </w:rPr>
        <w:t xml:space="preserve"> </w:t>
      </w:r>
      <w:r w:rsidR="0064156C">
        <w:rPr>
          <w:rFonts w:ascii="Times New Roman" w:hAnsi="Times New Roman" w:cs="Times New Roman"/>
          <w:sz w:val="24"/>
          <w:szCs w:val="24"/>
        </w:rPr>
        <w:t xml:space="preserve">an </w:t>
      </w:r>
      <w:r w:rsidR="000D1A4D" w:rsidRPr="001055B5">
        <w:rPr>
          <w:rFonts w:ascii="Times New Roman" w:hAnsi="Times New Roman" w:cs="Times New Roman"/>
          <w:sz w:val="24"/>
          <w:szCs w:val="24"/>
        </w:rPr>
        <w:t xml:space="preserve">exemption for pure run-off firms. According to </w:t>
      </w:r>
      <w:r w:rsidR="00F171FA" w:rsidRPr="001055B5">
        <w:rPr>
          <w:rFonts w:ascii="Times New Roman" w:hAnsi="Times New Roman" w:cs="Times New Roman"/>
          <w:sz w:val="24"/>
          <w:szCs w:val="24"/>
        </w:rPr>
        <w:t>the</w:t>
      </w:r>
      <w:r w:rsidR="000D1A4D" w:rsidRPr="001055B5">
        <w:rPr>
          <w:rFonts w:ascii="Times New Roman" w:hAnsi="Times New Roman" w:cs="Times New Roman"/>
          <w:sz w:val="24"/>
          <w:szCs w:val="24"/>
        </w:rPr>
        <w:t xml:space="preserve"> article 308b insurance and reinsurance companies that have stopped entering into new insurance or reinsurance contracts before 1 January 2016 and </w:t>
      </w:r>
      <w:r w:rsidR="00BC5A0C" w:rsidRPr="001055B5">
        <w:rPr>
          <w:rFonts w:ascii="Times New Roman" w:hAnsi="Times New Roman" w:cs="Times New Roman"/>
          <w:sz w:val="24"/>
          <w:szCs w:val="24"/>
        </w:rPr>
        <w:t>are concentrating</w:t>
      </w:r>
      <w:r w:rsidR="000D1A4D" w:rsidRPr="001055B5">
        <w:rPr>
          <w:rFonts w:ascii="Times New Roman" w:hAnsi="Times New Roman" w:cs="Times New Roman"/>
          <w:sz w:val="24"/>
          <w:szCs w:val="24"/>
        </w:rPr>
        <w:t xml:space="preserve"> on running-off their existing obligations are not subject to the Solvency II requirements </w:t>
      </w:r>
      <w:r w:rsidR="00BC5A0C" w:rsidRPr="001055B5">
        <w:rPr>
          <w:rFonts w:ascii="Times New Roman" w:hAnsi="Times New Roman" w:cs="Times New Roman"/>
          <w:sz w:val="24"/>
          <w:szCs w:val="24"/>
        </w:rPr>
        <w:t>provided</w:t>
      </w:r>
      <w:r w:rsidR="000D1A4D" w:rsidRPr="001055B5">
        <w:rPr>
          <w:rFonts w:ascii="Times New Roman" w:hAnsi="Times New Roman" w:cs="Times New Roman"/>
          <w:sz w:val="24"/>
          <w:szCs w:val="24"/>
        </w:rPr>
        <w:t xml:space="preserve"> they manage to terminate all their activity before 1 January 2019 (1 January 2021 in case the undertaking is subject to reorganisation and an administrator has been appointed). </w:t>
      </w:r>
      <w:r w:rsidR="001469A4" w:rsidRPr="001055B5">
        <w:rPr>
          <w:rFonts w:ascii="Times New Roman" w:hAnsi="Times New Roman" w:cs="Times New Roman"/>
          <w:sz w:val="24"/>
          <w:szCs w:val="24"/>
        </w:rPr>
        <w:t>In order to be eligible for the exemption the company shall not be a part of a group with active insurance business</w:t>
      </w:r>
      <w:r w:rsidR="008B6BAF" w:rsidRPr="001055B5">
        <w:rPr>
          <w:rFonts w:ascii="Times New Roman" w:hAnsi="Times New Roman" w:cs="Times New Roman"/>
          <w:sz w:val="24"/>
          <w:szCs w:val="24"/>
        </w:rPr>
        <w:t xml:space="preserve">, </w:t>
      </w:r>
      <w:r w:rsidR="001469A4" w:rsidRPr="001055B5">
        <w:rPr>
          <w:rFonts w:ascii="Times New Roman" w:hAnsi="Times New Roman" w:cs="Times New Roman"/>
          <w:sz w:val="24"/>
          <w:szCs w:val="24"/>
        </w:rPr>
        <w:t xml:space="preserve">has to notify its supervisory authority about its application </w:t>
      </w:r>
      <w:r w:rsidR="008B6BAF" w:rsidRPr="001055B5">
        <w:rPr>
          <w:rFonts w:ascii="Times New Roman" w:hAnsi="Times New Roman" w:cs="Times New Roman"/>
          <w:sz w:val="24"/>
          <w:szCs w:val="24"/>
        </w:rPr>
        <w:t xml:space="preserve">for the transitional provisions </w:t>
      </w:r>
      <w:r w:rsidR="001469A4" w:rsidRPr="001055B5">
        <w:rPr>
          <w:rFonts w:ascii="Times New Roman" w:hAnsi="Times New Roman" w:cs="Times New Roman"/>
          <w:sz w:val="24"/>
          <w:szCs w:val="24"/>
        </w:rPr>
        <w:t>and provide the authority with an annual progress report.</w:t>
      </w:r>
      <w:r w:rsidR="00CE4614" w:rsidRPr="001055B5">
        <w:rPr>
          <w:rStyle w:val="Funotenzeichen"/>
          <w:rFonts w:ascii="Times New Roman" w:hAnsi="Times New Roman" w:cs="Times New Roman"/>
          <w:sz w:val="24"/>
          <w:szCs w:val="24"/>
        </w:rPr>
        <w:footnoteReference w:id="55"/>
      </w:r>
      <w:r w:rsidR="00282666" w:rsidRPr="001055B5">
        <w:rPr>
          <w:rFonts w:ascii="Times New Roman" w:hAnsi="Times New Roman" w:cs="Times New Roman"/>
          <w:sz w:val="24"/>
          <w:szCs w:val="24"/>
        </w:rPr>
        <w:t xml:space="preserve"> </w:t>
      </w:r>
      <w:r w:rsidR="008B6BAF" w:rsidRPr="001055B5">
        <w:rPr>
          <w:rFonts w:ascii="Times New Roman" w:hAnsi="Times New Roman" w:cs="Times New Roman"/>
          <w:sz w:val="24"/>
          <w:szCs w:val="24"/>
        </w:rPr>
        <w:t xml:space="preserve">Thus it seems that </w:t>
      </w:r>
      <w:r w:rsidR="00282666" w:rsidRPr="001055B5">
        <w:rPr>
          <w:rFonts w:ascii="Times New Roman" w:hAnsi="Times New Roman" w:cs="Times New Roman"/>
          <w:sz w:val="24"/>
          <w:szCs w:val="24"/>
        </w:rPr>
        <w:t>Solvency</w:t>
      </w:r>
      <w:r w:rsidR="008B6BAF" w:rsidRPr="001055B5">
        <w:rPr>
          <w:rFonts w:ascii="Times New Roman" w:hAnsi="Times New Roman" w:cs="Times New Roman"/>
          <w:sz w:val="24"/>
          <w:szCs w:val="24"/>
        </w:rPr>
        <w:t xml:space="preserve"> II grants a substantial relief for the run-off companies</w:t>
      </w:r>
      <w:r w:rsidR="001E1B76" w:rsidRPr="001055B5">
        <w:rPr>
          <w:rFonts w:ascii="Times New Roman" w:hAnsi="Times New Roman" w:cs="Times New Roman"/>
          <w:sz w:val="24"/>
          <w:szCs w:val="24"/>
        </w:rPr>
        <w:t xml:space="preserve"> which</w:t>
      </w:r>
      <w:r w:rsidR="008B6BAF" w:rsidRPr="001055B5">
        <w:rPr>
          <w:rFonts w:ascii="Times New Roman" w:hAnsi="Times New Roman" w:cs="Times New Roman"/>
          <w:sz w:val="24"/>
          <w:szCs w:val="24"/>
        </w:rPr>
        <w:t xml:space="preserve"> cannot afford to comply</w:t>
      </w:r>
      <w:r w:rsidR="00D0197E" w:rsidRPr="001055B5">
        <w:rPr>
          <w:rFonts w:ascii="Times New Roman" w:hAnsi="Times New Roman" w:cs="Times New Roman"/>
          <w:sz w:val="24"/>
          <w:szCs w:val="24"/>
        </w:rPr>
        <w:t xml:space="preserve"> with</w:t>
      </w:r>
      <w:r w:rsidR="008B6BAF" w:rsidRPr="001055B5">
        <w:rPr>
          <w:rFonts w:ascii="Times New Roman" w:hAnsi="Times New Roman" w:cs="Times New Roman"/>
          <w:sz w:val="24"/>
          <w:szCs w:val="24"/>
        </w:rPr>
        <w:t xml:space="preserve"> </w:t>
      </w:r>
      <w:r w:rsidR="00282666" w:rsidRPr="001055B5">
        <w:rPr>
          <w:rFonts w:ascii="Times New Roman" w:hAnsi="Times New Roman" w:cs="Times New Roman"/>
          <w:sz w:val="24"/>
          <w:szCs w:val="24"/>
        </w:rPr>
        <w:t>its requirements</w:t>
      </w:r>
      <w:r w:rsidR="008B6BAF" w:rsidRPr="001055B5">
        <w:rPr>
          <w:rFonts w:ascii="Times New Roman" w:hAnsi="Times New Roman" w:cs="Times New Roman"/>
          <w:sz w:val="24"/>
          <w:szCs w:val="24"/>
        </w:rPr>
        <w:t xml:space="preserve">. </w:t>
      </w:r>
      <w:r w:rsidR="00514F54" w:rsidRPr="001055B5">
        <w:rPr>
          <w:rFonts w:ascii="Times New Roman" w:hAnsi="Times New Roman" w:cs="Times New Roman"/>
          <w:sz w:val="24"/>
          <w:szCs w:val="24"/>
        </w:rPr>
        <w:t xml:space="preserve">However, in reality it is unclear whether </w:t>
      </w:r>
      <w:r w:rsidR="00C60BA2" w:rsidRPr="001055B5">
        <w:rPr>
          <w:rFonts w:ascii="Times New Roman" w:hAnsi="Times New Roman" w:cs="Times New Roman"/>
          <w:sz w:val="24"/>
          <w:szCs w:val="24"/>
        </w:rPr>
        <w:t>the firms</w:t>
      </w:r>
      <w:r w:rsidR="00514F54" w:rsidRPr="001055B5">
        <w:rPr>
          <w:rFonts w:ascii="Times New Roman" w:hAnsi="Times New Roman" w:cs="Times New Roman"/>
          <w:sz w:val="24"/>
          <w:szCs w:val="24"/>
        </w:rPr>
        <w:t xml:space="preserve"> will benefit from the exemption. </w:t>
      </w:r>
    </w:p>
    <w:p w:rsidR="00585160" w:rsidRPr="001055B5" w:rsidRDefault="00585160" w:rsidP="005B1DA4">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t xml:space="preserve">The rules do not elaborate </w:t>
      </w:r>
      <w:r w:rsidR="00BC505F" w:rsidRPr="001055B5">
        <w:rPr>
          <w:rFonts w:ascii="Times New Roman" w:hAnsi="Times New Roman" w:cs="Times New Roman"/>
          <w:sz w:val="24"/>
          <w:szCs w:val="24"/>
        </w:rPr>
        <w:t>what</w:t>
      </w:r>
      <w:r w:rsidRPr="001055B5">
        <w:rPr>
          <w:rFonts w:ascii="Times New Roman" w:hAnsi="Times New Roman" w:cs="Times New Roman"/>
          <w:sz w:val="24"/>
          <w:szCs w:val="24"/>
        </w:rPr>
        <w:t xml:space="preserve"> evidence the companies have to p</w:t>
      </w:r>
      <w:r w:rsidR="00F5194A">
        <w:rPr>
          <w:rFonts w:ascii="Times New Roman" w:hAnsi="Times New Roman" w:cs="Times New Roman"/>
          <w:sz w:val="24"/>
          <w:szCs w:val="24"/>
        </w:rPr>
        <w:t>roduce in order to convince the</w:t>
      </w:r>
      <w:r w:rsidRPr="001055B5">
        <w:rPr>
          <w:rFonts w:ascii="Times New Roman" w:hAnsi="Times New Roman" w:cs="Times New Roman"/>
          <w:sz w:val="24"/>
          <w:szCs w:val="24"/>
        </w:rPr>
        <w:t xml:space="preserve"> supervisory authorities that their activity will be terminated before the given date.</w:t>
      </w:r>
      <w:bookmarkStart w:id="13" w:name="_Ref405987576"/>
      <w:r w:rsidR="00FD1736" w:rsidRPr="001055B5">
        <w:rPr>
          <w:rStyle w:val="Funotenzeichen"/>
          <w:rFonts w:ascii="Times New Roman" w:hAnsi="Times New Roman" w:cs="Times New Roman"/>
          <w:sz w:val="24"/>
          <w:szCs w:val="24"/>
        </w:rPr>
        <w:footnoteReference w:id="56"/>
      </w:r>
      <w:bookmarkEnd w:id="13"/>
      <w:r w:rsidRPr="001055B5">
        <w:rPr>
          <w:rFonts w:ascii="Times New Roman" w:hAnsi="Times New Roman" w:cs="Times New Roman"/>
          <w:sz w:val="24"/>
          <w:szCs w:val="24"/>
        </w:rPr>
        <w:t xml:space="preserve"> </w:t>
      </w:r>
      <w:r w:rsidR="00D56879" w:rsidRPr="001055B5">
        <w:rPr>
          <w:rFonts w:ascii="Times New Roman" w:hAnsi="Times New Roman" w:cs="Times New Roman"/>
          <w:sz w:val="24"/>
          <w:szCs w:val="24"/>
        </w:rPr>
        <w:t xml:space="preserve">Apparently it is left for the national supervisory authorities to establish detailed rules for the process, which may result in the requirements’ discrepancy across various Member States. </w:t>
      </w:r>
    </w:p>
    <w:p w:rsidR="002C6117" w:rsidRPr="001055B5" w:rsidRDefault="000F6E17" w:rsidP="004E4E5A">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t>In the UK</w:t>
      </w:r>
      <w:r w:rsidR="00A23B53" w:rsidRPr="001055B5">
        <w:rPr>
          <w:rFonts w:ascii="Times New Roman" w:hAnsi="Times New Roman" w:cs="Times New Roman"/>
          <w:sz w:val="24"/>
          <w:szCs w:val="24"/>
        </w:rPr>
        <w:t xml:space="preserve"> the Prudential Regulation Authority (PRA) launched in August 2014 a large-scale consultation concerning the transposition of Solvency II as amended by the Omnibus II Directive.</w:t>
      </w:r>
      <w:r w:rsidR="00A23B53" w:rsidRPr="001055B5">
        <w:rPr>
          <w:rStyle w:val="Funotenzeichen"/>
          <w:rFonts w:ascii="Times New Roman" w:hAnsi="Times New Roman" w:cs="Times New Roman"/>
          <w:sz w:val="24"/>
          <w:szCs w:val="24"/>
        </w:rPr>
        <w:footnoteReference w:id="57"/>
      </w:r>
      <w:r w:rsidR="00E64B1F" w:rsidRPr="001055B5">
        <w:rPr>
          <w:rFonts w:ascii="Times New Roman" w:hAnsi="Times New Roman" w:cs="Times New Roman"/>
          <w:sz w:val="24"/>
          <w:szCs w:val="24"/>
        </w:rPr>
        <w:t xml:space="preserve"> As a part of the consultation the issues concerning transitional measures for firms in </w:t>
      </w:r>
      <w:r w:rsidR="00E64B1F" w:rsidRPr="001055B5">
        <w:rPr>
          <w:rFonts w:ascii="Times New Roman" w:hAnsi="Times New Roman" w:cs="Times New Roman"/>
          <w:sz w:val="24"/>
          <w:szCs w:val="24"/>
        </w:rPr>
        <w:lastRenderedPageBreak/>
        <w:t xml:space="preserve">run-off were mentioned. </w:t>
      </w:r>
      <w:r w:rsidR="00245F51" w:rsidRPr="001055B5">
        <w:rPr>
          <w:rFonts w:ascii="Times New Roman" w:hAnsi="Times New Roman" w:cs="Times New Roman"/>
          <w:sz w:val="24"/>
          <w:szCs w:val="24"/>
        </w:rPr>
        <w:t xml:space="preserve">Particularly </w:t>
      </w:r>
      <w:r w:rsidR="00CE4614" w:rsidRPr="001055B5">
        <w:rPr>
          <w:rFonts w:ascii="Times New Roman" w:hAnsi="Times New Roman" w:cs="Times New Roman"/>
          <w:sz w:val="24"/>
          <w:szCs w:val="24"/>
        </w:rPr>
        <w:t xml:space="preserve">in the draft Supervisory Statement </w:t>
      </w:r>
      <w:r w:rsidR="004E7E82" w:rsidRPr="001055B5">
        <w:rPr>
          <w:rFonts w:ascii="Times New Roman" w:hAnsi="Times New Roman" w:cs="Times New Roman"/>
          <w:sz w:val="24"/>
          <w:szCs w:val="24"/>
        </w:rPr>
        <w:t>the PRA pointed out that it expects companies seeking the exemption to apply well before January 1</w:t>
      </w:r>
      <w:r w:rsidR="004E7E82" w:rsidRPr="001055B5">
        <w:rPr>
          <w:rFonts w:ascii="Times New Roman" w:hAnsi="Times New Roman" w:cs="Times New Roman"/>
          <w:sz w:val="24"/>
          <w:szCs w:val="24"/>
          <w:vertAlign w:val="superscript"/>
        </w:rPr>
        <w:t>st</w:t>
      </w:r>
      <w:r w:rsidR="004E7E82" w:rsidRPr="001055B5">
        <w:rPr>
          <w:rFonts w:ascii="Times New Roman" w:hAnsi="Times New Roman" w:cs="Times New Roman"/>
          <w:sz w:val="24"/>
          <w:szCs w:val="24"/>
        </w:rPr>
        <w:t xml:space="preserve"> 2016 to allow it enough time to determine whether it is satisfied that the conditions are met. </w:t>
      </w:r>
      <w:r w:rsidR="004E4E5A" w:rsidRPr="001055B5">
        <w:rPr>
          <w:rFonts w:ascii="Times New Roman" w:hAnsi="Times New Roman" w:cs="Times New Roman"/>
          <w:sz w:val="24"/>
          <w:szCs w:val="24"/>
        </w:rPr>
        <w:t>Additionally the undertakings need to have ‘a credible plan for transferring or extinguishing all their existing insurance liabilities’ before the beginning of 2019 or 2021, depending on their circumstances.</w:t>
      </w:r>
      <w:r w:rsidR="004E4E5A" w:rsidRPr="001055B5">
        <w:rPr>
          <w:rStyle w:val="Funotenzeichen"/>
          <w:rFonts w:ascii="Times New Roman" w:hAnsi="Times New Roman" w:cs="Times New Roman"/>
          <w:sz w:val="24"/>
          <w:szCs w:val="24"/>
        </w:rPr>
        <w:footnoteReference w:id="58"/>
      </w:r>
      <w:r w:rsidR="002C6117" w:rsidRPr="001055B5">
        <w:rPr>
          <w:rFonts w:ascii="Times New Roman" w:hAnsi="Times New Roman" w:cs="Times New Roman"/>
          <w:sz w:val="24"/>
          <w:szCs w:val="24"/>
        </w:rPr>
        <w:t xml:space="preserve"> Thus a company is required to have in place a defined run-off strategy for its business. </w:t>
      </w:r>
    </w:p>
    <w:p w:rsidR="004E7E82" w:rsidRPr="001055B5" w:rsidRDefault="002C6117" w:rsidP="004E4E5A">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t>However development of such strategy requires special expertise, which might not be immediately available for some of the firms. For those undertakings that do not already possess the necessary knowledge, the recruitment of such expertise demands additional costs and time.</w:t>
      </w:r>
      <w:r w:rsidRPr="001055B5">
        <w:rPr>
          <w:rStyle w:val="Funotenzeichen"/>
          <w:rFonts w:ascii="Times New Roman" w:hAnsi="Times New Roman" w:cs="Times New Roman"/>
          <w:sz w:val="24"/>
          <w:szCs w:val="24"/>
        </w:rPr>
        <w:footnoteReference w:id="59"/>
      </w:r>
      <w:r w:rsidRPr="001055B5">
        <w:rPr>
          <w:rFonts w:ascii="Times New Roman" w:hAnsi="Times New Roman" w:cs="Times New Roman"/>
          <w:sz w:val="24"/>
          <w:szCs w:val="24"/>
        </w:rPr>
        <w:t xml:space="preserve"> Additionally it may be challenging to find suitable experts as a company without new business has a lower level of attractiveness for employees.</w:t>
      </w:r>
      <w:r w:rsidR="00E71C45" w:rsidRPr="001055B5">
        <w:rPr>
          <w:rStyle w:val="Funotenzeichen"/>
          <w:rFonts w:ascii="Times New Roman" w:hAnsi="Times New Roman" w:cs="Times New Roman"/>
          <w:sz w:val="24"/>
          <w:szCs w:val="24"/>
        </w:rPr>
        <w:footnoteReference w:id="60"/>
      </w:r>
    </w:p>
    <w:p w:rsidR="00514F54" w:rsidRPr="001055B5" w:rsidRDefault="00E40D91" w:rsidP="005B1DA4">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t>Furthermore, w</w:t>
      </w:r>
      <w:r w:rsidR="00514F54" w:rsidRPr="001055B5">
        <w:rPr>
          <w:rFonts w:ascii="Times New Roman" w:hAnsi="Times New Roman" w:cs="Times New Roman"/>
          <w:sz w:val="24"/>
          <w:szCs w:val="24"/>
        </w:rPr>
        <w:t xml:space="preserve">hile </w:t>
      </w:r>
      <w:r w:rsidR="00A6041E" w:rsidRPr="001055B5">
        <w:rPr>
          <w:rFonts w:ascii="Times New Roman" w:hAnsi="Times New Roman" w:cs="Times New Roman"/>
          <w:sz w:val="24"/>
          <w:szCs w:val="24"/>
        </w:rPr>
        <w:t xml:space="preserve">3 or 5 years may seem like a sufficient period to exit from the market, it is not enough to </w:t>
      </w:r>
      <w:r w:rsidR="00D0197E" w:rsidRPr="001055B5">
        <w:rPr>
          <w:rFonts w:ascii="Times New Roman" w:hAnsi="Times New Roman" w:cs="Times New Roman"/>
          <w:sz w:val="24"/>
          <w:szCs w:val="24"/>
        </w:rPr>
        <w:t>settle</w:t>
      </w:r>
      <w:r w:rsidR="00A6041E" w:rsidRPr="001055B5">
        <w:rPr>
          <w:rFonts w:ascii="Times New Roman" w:hAnsi="Times New Roman" w:cs="Times New Roman"/>
          <w:sz w:val="24"/>
          <w:szCs w:val="24"/>
        </w:rPr>
        <w:t xml:space="preserve"> certain contracts</w:t>
      </w:r>
      <w:r w:rsidR="003663E7" w:rsidRPr="001055B5">
        <w:rPr>
          <w:rFonts w:ascii="Times New Roman" w:hAnsi="Times New Roman" w:cs="Times New Roman"/>
          <w:sz w:val="24"/>
          <w:szCs w:val="24"/>
        </w:rPr>
        <w:t>, especially those with long-tail liabilities.</w:t>
      </w:r>
      <w:r w:rsidRPr="001055B5">
        <w:rPr>
          <w:rFonts w:ascii="Times New Roman" w:hAnsi="Times New Roman" w:cs="Times New Roman"/>
          <w:sz w:val="24"/>
          <w:szCs w:val="24"/>
        </w:rPr>
        <w:t xml:space="preserve"> The experts from German Federal Financial Supervisory Authority (BaFin) point out that not all run-off companies will be able to qualify for the exemption due to the short time scale provided by </w:t>
      </w:r>
      <w:r w:rsidR="00D0197E" w:rsidRPr="001055B5">
        <w:rPr>
          <w:rFonts w:ascii="Times New Roman" w:hAnsi="Times New Roman" w:cs="Times New Roman"/>
          <w:sz w:val="24"/>
          <w:szCs w:val="24"/>
        </w:rPr>
        <w:t>Solvency</w:t>
      </w:r>
      <w:r w:rsidRPr="001055B5">
        <w:rPr>
          <w:rFonts w:ascii="Times New Roman" w:hAnsi="Times New Roman" w:cs="Times New Roman"/>
          <w:sz w:val="24"/>
          <w:szCs w:val="24"/>
        </w:rPr>
        <w:t xml:space="preserve"> II.</w:t>
      </w:r>
      <w:r w:rsidR="00905047" w:rsidRPr="001055B5">
        <w:rPr>
          <w:rStyle w:val="Funotenzeichen"/>
          <w:rFonts w:ascii="Times New Roman" w:hAnsi="Times New Roman" w:cs="Times New Roman"/>
          <w:sz w:val="24"/>
          <w:szCs w:val="24"/>
        </w:rPr>
        <w:footnoteReference w:id="61"/>
      </w:r>
      <w:r w:rsidRPr="001055B5">
        <w:rPr>
          <w:rFonts w:ascii="Times New Roman" w:hAnsi="Times New Roman" w:cs="Times New Roman"/>
          <w:sz w:val="24"/>
          <w:szCs w:val="24"/>
        </w:rPr>
        <w:t xml:space="preserve"> </w:t>
      </w:r>
      <w:r w:rsidR="00F73643" w:rsidRPr="001055B5">
        <w:rPr>
          <w:rFonts w:ascii="Times New Roman" w:hAnsi="Times New Roman" w:cs="Times New Roman"/>
          <w:sz w:val="24"/>
          <w:szCs w:val="24"/>
        </w:rPr>
        <w:t xml:space="preserve"> </w:t>
      </w:r>
      <w:r w:rsidR="003663E7" w:rsidRPr="001055B5">
        <w:rPr>
          <w:rFonts w:ascii="Times New Roman" w:hAnsi="Times New Roman" w:cs="Times New Roman"/>
          <w:sz w:val="24"/>
          <w:szCs w:val="24"/>
        </w:rPr>
        <w:t xml:space="preserve"> </w:t>
      </w:r>
      <w:r w:rsidR="00A6041E" w:rsidRPr="001055B5">
        <w:rPr>
          <w:rFonts w:ascii="Times New Roman" w:hAnsi="Times New Roman" w:cs="Times New Roman"/>
          <w:sz w:val="24"/>
          <w:szCs w:val="24"/>
        </w:rPr>
        <w:t xml:space="preserve">   </w:t>
      </w:r>
    </w:p>
    <w:p w:rsidR="00DA293E" w:rsidRPr="001055B5" w:rsidRDefault="000E2493" w:rsidP="005B1DA4">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t>On the other hand, f</w:t>
      </w:r>
      <w:r w:rsidR="006D62C9" w:rsidRPr="001055B5">
        <w:rPr>
          <w:rFonts w:ascii="Times New Roman" w:hAnsi="Times New Roman" w:cs="Times New Roman"/>
          <w:sz w:val="24"/>
          <w:szCs w:val="24"/>
        </w:rPr>
        <w:t>or the companies that qualify for the exemption there is no guarantee that the national regulators will not require them to conduct preparations for Solvency II</w:t>
      </w:r>
      <w:r w:rsidR="007B1D1A" w:rsidRPr="001055B5">
        <w:rPr>
          <w:rFonts w:ascii="Times New Roman" w:hAnsi="Times New Roman" w:cs="Times New Roman"/>
          <w:sz w:val="24"/>
          <w:szCs w:val="24"/>
        </w:rPr>
        <w:t xml:space="preserve"> all the same, </w:t>
      </w:r>
      <w:r w:rsidR="006D62C9" w:rsidRPr="001055B5">
        <w:rPr>
          <w:rFonts w:ascii="Times New Roman" w:hAnsi="Times New Roman" w:cs="Times New Roman"/>
          <w:sz w:val="24"/>
          <w:szCs w:val="24"/>
        </w:rPr>
        <w:t xml:space="preserve">as a safeguard in case they are not able to complete their run-off on time. </w:t>
      </w:r>
      <w:r w:rsidR="008C252D" w:rsidRPr="001055B5">
        <w:rPr>
          <w:rFonts w:ascii="Times New Roman" w:hAnsi="Times New Roman" w:cs="Times New Roman"/>
          <w:sz w:val="24"/>
          <w:szCs w:val="24"/>
        </w:rPr>
        <w:t>Consequently</w:t>
      </w:r>
      <w:r w:rsidR="006A07C6" w:rsidRPr="001055B5">
        <w:rPr>
          <w:rFonts w:ascii="Times New Roman" w:hAnsi="Times New Roman" w:cs="Times New Roman"/>
          <w:sz w:val="24"/>
          <w:szCs w:val="24"/>
        </w:rPr>
        <w:t xml:space="preserve"> the</w:t>
      </w:r>
      <w:r w:rsidR="008C252D" w:rsidRPr="001055B5">
        <w:rPr>
          <w:rFonts w:ascii="Times New Roman" w:hAnsi="Times New Roman" w:cs="Times New Roman"/>
          <w:sz w:val="24"/>
          <w:szCs w:val="24"/>
        </w:rPr>
        <w:t>y</w:t>
      </w:r>
      <w:r w:rsidR="006A07C6" w:rsidRPr="001055B5">
        <w:rPr>
          <w:rFonts w:ascii="Times New Roman" w:hAnsi="Times New Roman" w:cs="Times New Roman"/>
          <w:sz w:val="24"/>
          <w:szCs w:val="24"/>
        </w:rPr>
        <w:t xml:space="preserve"> may not gain much from the exemption despite all the efforts required to obtain it. </w:t>
      </w:r>
    </w:p>
    <w:p w:rsidR="007B1D1A" w:rsidRPr="001055B5" w:rsidRDefault="006E6B33" w:rsidP="005B1DA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Another possible exemption from Solvency II rules is for </w:t>
      </w:r>
      <w:r w:rsidR="007B1D1A" w:rsidRPr="001055B5">
        <w:rPr>
          <w:rFonts w:ascii="Times New Roman" w:hAnsi="Times New Roman" w:cs="Times New Roman"/>
          <w:sz w:val="24"/>
          <w:szCs w:val="24"/>
        </w:rPr>
        <w:t xml:space="preserve">small companies </w:t>
      </w:r>
      <w:r w:rsidR="00C5747D" w:rsidRPr="001055B5">
        <w:rPr>
          <w:rFonts w:ascii="Times New Roman" w:hAnsi="Times New Roman" w:cs="Times New Roman"/>
          <w:sz w:val="24"/>
          <w:szCs w:val="24"/>
        </w:rPr>
        <w:t>due to their size. However the limits of EUR 5 million of annual gross written premium income and EUR 25 million of gross technical provisions</w:t>
      </w:r>
      <w:r w:rsidR="00C5747D" w:rsidRPr="001055B5">
        <w:rPr>
          <w:rStyle w:val="Funotenzeichen"/>
          <w:rFonts w:ascii="Times New Roman" w:hAnsi="Times New Roman" w:cs="Times New Roman"/>
          <w:sz w:val="24"/>
          <w:szCs w:val="24"/>
        </w:rPr>
        <w:footnoteReference w:id="62"/>
      </w:r>
      <w:r w:rsidR="00C5747D" w:rsidRPr="001055B5">
        <w:rPr>
          <w:rFonts w:ascii="Times New Roman" w:hAnsi="Times New Roman" w:cs="Times New Roman"/>
          <w:sz w:val="24"/>
          <w:szCs w:val="24"/>
        </w:rPr>
        <w:t xml:space="preserve"> make it impossible for majority of the small firms </w:t>
      </w:r>
      <w:r w:rsidR="001E256B" w:rsidRPr="001055B5">
        <w:rPr>
          <w:rFonts w:ascii="Times New Roman" w:hAnsi="Times New Roman" w:cs="Times New Roman"/>
          <w:sz w:val="24"/>
          <w:szCs w:val="24"/>
        </w:rPr>
        <w:t xml:space="preserve">to </w:t>
      </w:r>
      <w:r w:rsidR="00C5747D" w:rsidRPr="001055B5">
        <w:rPr>
          <w:rFonts w:ascii="Times New Roman" w:hAnsi="Times New Roman" w:cs="Times New Roman"/>
          <w:sz w:val="24"/>
          <w:szCs w:val="24"/>
        </w:rPr>
        <w:t xml:space="preserve">qualify for this exemption. </w:t>
      </w:r>
    </w:p>
    <w:p w:rsidR="00101BDF" w:rsidRDefault="00534124" w:rsidP="005B1DA4">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t>The bottom line is that</w:t>
      </w:r>
      <w:r w:rsidR="00101BDF" w:rsidRPr="001055B5">
        <w:rPr>
          <w:rFonts w:ascii="Times New Roman" w:hAnsi="Times New Roman" w:cs="Times New Roman"/>
          <w:sz w:val="24"/>
          <w:szCs w:val="24"/>
        </w:rPr>
        <w:t xml:space="preserve"> whereas Solvency II recognises specific circumstances of the sole run-off entities, the uncertainty and onerous requirements make it hard for the companies to benefit from the </w:t>
      </w:r>
      <w:r w:rsidRPr="001055B5">
        <w:rPr>
          <w:rFonts w:ascii="Times New Roman" w:hAnsi="Times New Roman" w:cs="Times New Roman"/>
          <w:sz w:val="24"/>
          <w:szCs w:val="24"/>
        </w:rPr>
        <w:t xml:space="preserve">provided </w:t>
      </w:r>
      <w:r w:rsidR="00101BDF" w:rsidRPr="001055B5">
        <w:rPr>
          <w:rFonts w:ascii="Times New Roman" w:hAnsi="Times New Roman" w:cs="Times New Roman"/>
          <w:sz w:val="24"/>
          <w:szCs w:val="24"/>
        </w:rPr>
        <w:t xml:space="preserve">exemptions. </w:t>
      </w:r>
    </w:p>
    <w:p w:rsidR="00DF5706" w:rsidRDefault="00F73F97" w:rsidP="005D6674">
      <w:pPr>
        <w:pStyle w:val="Listenabsatz"/>
        <w:numPr>
          <w:ilvl w:val="0"/>
          <w:numId w:val="9"/>
        </w:numPr>
        <w:spacing w:after="120" w:line="360" w:lineRule="auto"/>
        <w:ind w:left="1077" w:hanging="357"/>
        <w:jc w:val="both"/>
        <w:rPr>
          <w:rFonts w:ascii="Times New Roman" w:hAnsi="Times New Roman" w:cs="Times New Roman"/>
          <w:b/>
          <w:sz w:val="24"/>
          <w:szCs w:val="24"/>
        </w:rPr>
      </w:pPr>
      <w:r w:rsidRPr="001055B5">
        <w:rPr>
          <w:rFonts w:ascii="Times New Roman" w:hAnsi="Times New Roman" w:cs="Times New Roman"/>
          <w:b/>
          <w:sz w:val="24"/>
          <w:szCs w:val="24"/>
        </w:rPr>
        <w:lastRenderedPageBreak/>
        <w:t>Conclusions</w:t>
      </w:r>
      <w:r w:rsidR="00DF5706" w:rsidRPr="001055B5">
        <w:rPr>
          <w:rFonts w:ascii="Times New Roman" w:hAnsi="Times New Roman" w:cs="Times New Roman"/>
          <w:b/>
          <w:sz w:val="24"/>
          <w:szCs w:val="24"/>
        </w:rPr>
        <w:t xml:space="preserve"> </w:t>
      </w:r>
    </w:p>
    <w:p w:rsidR="009423A6" w:rsidRDefault="00E87A45" w:rsidP="00B42489">
      <w:pPr>
        <w:spacing w:after="0" w:line="360" w:lineRule="auto"/>
        <w:jc w:val="both"/>
        <w:rPr>
          <w:rFonts w:ascii="Times New Roman" w:hAnsi="Times New Roman" w:cs="Times New Roman"/>
          <w:sz w:val="24"/>
          <w:szCs w:val="24"/>
        </w:rPr>
      </w:pPr>
      <w:r w:rsidRPr="001055B5">
        <w:rPr>
          <w:rFonts w:ascii="Times New Roman" w:hAnsi="Times New Roman" w:cs="Times New Roman"/>
          <w:sz w:val="24"/>
          <w:szCs w:val="24"/>
        </w:rPr>
        <w:t xml:space="preserve">This article provided a </w:t>
      </w:r>
      <w:r w:rsidR="00610BAE">
        <w:rPr>
          <w:rFonts w:ascii="Times New Roman" w:hAnsi="Times New Roman" w:cs="Times New Roman"/>
          <w:sz w:val="24"/>
          <w:szCs w:val="24"/>
        </w:rPr>
        <w:t>brief introduction to the</w:t>
      </w:r>
      <w:r w:rsidRPr="001055B5">
        <w:rPr>
          <w:rFonts w:ascii="Times New Roman" w:hAnsi="Times New Roman" w:cs="Times New Roman"/>
          <w:sz w:val="24"/>
          <w:szCs w:val="24"/>
        </w:rPr>
        <w:t xml:space="preserve"> Solvency II regime and discussed its impact on discontinued insurance business. </w:t>
      </w:r>
      <w:r w:rsidR="009423A6">
        <w:rPr>
          <w:rFonts w:ascii="Times New Roman" w:hAnsi="Times New Roman" w:cs="Times New Roman"/>
          <w:sz w:val="24"/>
          <w:szCs w:val="24"/>
        </w:rPr>
        <w:t xml:space="preserve">Although being criticised for the complexity of calculations and general sophistication of the process, among others, the necessity of the reform is recognised by the industry. </w:t>
      </w:r>
    </w:p>
    <w:p w:rsidR="00EE3DCA" w:rsidRPr="001055B5" w:rsidRDefault="00E87A45" w:rsidP="005B1DA4">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t xml:space="preserve">Whereas the Solvency II discussion has been on agenda of various researchers for a while, the issue of discontinued insurance is still relatively untouched. This article </w:t>
      </w:r>
      <w:r w:rsidR="000579E7">
        <w:rPr>
          <w:rFonts w:ascii="Times New Roman" w:hAnsi="Times New Roman" w:cs="Times New Roman"/>
          <w:sz w:val="24"/>
          <w:szCs w:val="24"/>
        </w:rPr>
        <w:t>aims to fill this gap and</w:t>
      </w:r>
      <w:r w:rsidRPr="001055B5">
        <w:rPr>
          <w:rFonts w:ascii="Times New Roman" w:hAnsi="Times New Roman" w:cs="Times New Roman"/>
          <w:sz w:val="24"/>
          <w:szCs w:val="24"/>
        </w:rPr>
        <w:t xml:space="preserve"> trigger future academic discussion by analysing the impact of the upcoming regime on discontinued </w:t>
      </w:r>
      <w:r w:rsidR="0092686B">
        <w:rPr>
          <w:rFonts w:ascii="Times New Roman" w:hAnsi="Times New Roman" w:cs="Times New Roman"/>
          <w:sz w:val="24"/>
          <w:szCs w:val="24"/>
        </w:rPr>
        <w:t>(re)</w:t>
      </w:r>
      <w:r w:rsidRPr="001055B5">
        <w:rPr>
          <w:rFonts w:ascii="Times New Roman" w:hAnsi="Times New Roman" w:cs="Times New Roman"/>
          <w:sz w:val="24"/>
          <w:szCs w:val="24"/>
        </w:rPr>
        <w:t xml:space="preserve">insurance business. It was illustrated that Solvency II is likely to have a serious ramifications for </w:t>
      </w:r>
      <w:r w:rsidR="0092686B">
        <w:rPr>
          <w:rFonts w:ascii="Times New Roman" w:hAnsi="Times New Roman" w:cs="Times New Roman"/>
          <w:sz w:val="24"/>
          <w:szCs w:val="24"/>
        </w:rPr>
        <w:t>(re)</w:t>
      </w:r>
      <w:r w:rsidR="00AF6527">
        <w:rPr>
          <w:rFonts w:ascii="Times New Roman" w:hAnsi="Times New Roman" w:cs="Times New Roman"/>
          <w:sz w:val="24"/>
          <w:szCs w:val="24"/>
        </w:rPr>
        <w:t xml:space="preserve">insurance </w:t>
      </w:r>
      <w:r w:rsidR="00EE3DCA" w:rsidRPr="001055B5">
        <w:rPr>
          <w:rFonts w:ascii="Times New Roman" w:hAnsi="Times New Roman" w:cs="Times New Roman"/>
          <w:sz w:val="24"/>
          <w:szCs w:val="24"/>
        </w:rPr>
        <w:t>run-off</w:t>
      </w:r>
      <w:r w:rsidRPr="001055B5">
        <w:rPr>
          <w:rFonts w:ascii="Times New Roman" w:hAnsi="Times New Roman" w:cs="Times New Roman"/>
          <w:sz w:val="24"/>
          <w:szCs w:val="24"/>
        </w:rPr>
        <w:t xml:space="preserve">, </w:t>
      </w:r>
      <w:r w:rsidR="000579E7">
        <w:rPr>
          <w:rFonts w:ascii="Times New Roman" w:hAnsi="Times New Roman" w:cs="Times New Roman"/>
          <w:sz w:val="24"/>
          <w:szCs w:val="24"/>
        </w:rPr>
        <w:t>making its cost explicit</w:t>
      </w:r>
      <w:r w:rsidR="006507C5">
        <w:rPr>
          <w:rFonts w:ascii="Times New Roman" w:hAnsi="Times New Roman" w:cs="Times New Roman"/>
          <w:sz w:val="24"/>
          <w:szCs w:val="24"/>
        </w:rPr>
        <w:t>ly visible</w:t>
      </w:r>
      <w:r w:rsidRPr="001055B5">
        <w:rPr>
          <w:rFonts w:ascii="Times New Roman" w:hAnsi="Times New Roman" w:cs="Times New Roman"/>
          <w:sz w:val="24"/>
          <w:szCs w:val="24"/>
        </w:rPr>
        <w:t xml:space="preserve">. Risks pertinent to inactive business need to be supported by capital as well, making </w:t>
      </w:r>
      <w:r w:rsidR="00EE3DCA" w:rsidRPr="001055B5">
        <w:rPr>
          <w:rFonts w:ascii="Times New Roman" w:hAnsi="Times New Roman" w:cs="Times New Roman"/>
          <w:sz w:val="24"/>
          <w:szCs w:val="24"/>
        </w:rPr>
        <w:t>its</w:t>
      </w:r>
      <w:r w:rsidRPr="001055B5">
        <w:rPr>
          <w:rFonts w:ascii="Times New Roman" w:hAnsi="Times New Roman" w:cs="Times New Roman"/>
          <w:sz w:val="24"/>
          <w:szCs w:val="24"/>
        </w:rPr>
        <w:t xml:space="preserve"> maintenance more expensive. The amount of required extra capital depends on various characteristics of each run-off portfolio, such as its volatility, diversification and reinsurance solutions used. </w:t>
      </w:r>
    </w:p>
    <w:p w:rsidR="004618DF" w:rsidRDefault="00EE3DCA" w:rsidP="005B1DA4">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t>The</w:t>
      </w:r>
      <w:r w:rsidR="00E87A45" w:rsidRPr="001055B5">
        <w:rPr>
          <w:rFonts w:ascii="Times New Roman" w:hAnsi="Times New Roman" w:cs="Times New Roman"/>
          <w:sz w:val="24"/>
          <w:szCs w:val="24"/>
        </w:rPr>
        <w:t xml:space="preserve"> additional capital charges, although the most serious, is not the only implication. Discontinued business is also </w:t>
      </w:r>
      <w:r w:rsidR="003A10F0">
        <w:rPr>
          <w:rFonts w:ascii="Times New Roman" w:hAnsi="Times New Roman" w:cs="Times New Roman"/>
          <w:sz w:val="24"/>
          <w:szCs w:val="24"/>
        </w:rPr>
        <w:t>subject</w:t>
      </w:r>
      <w:r w:rsidR="00E87A45" w:rsidRPr="001055B5">
        <w:rPr>
          <w:rFonts w:ascii="Times New Roman" w:hAnsi="Times New Roman" w:cs="Times New Roman"/>
          <w:sz w:val="24"/>
          <w:szCs w:val="24"/>
        </w:rPr>
        <w:t xml:space="preserve"> </w:t>
      </w:r>
      <w:r w:rsidR="002F4A60">
        <w:rPr>
          <w:rFonts w:ascii="Times New Roman" w:hAnsi="Times New Roman" w:cs="Times New Roman"/>
          <w:sz w:val="24"/>
          <w:szCs w:val="24"/>
        </w:rPr>
        <w:t>to</w:t>
      </w:r>
      <w:r w:rsidR="00E87A45" w:rsidRPr="001055B5">
        <w:rPr>
          <w:rFonts w:ascii="Times New Roman" w:hAnsi="Times New Roman" w:cs="Times New Roman"/>
          <w:sz w:val="24"/>
          <w:szCs w:val="24"/>
        </w:rPr>
        <w:t xml:space="preserve"> supervisory and reporting requirements. Run-off portfolios have to be taken into account </w:t>
      </w:r>
      <w:r w:rsidR="00EA49E0">
        <w:rPr>
          <w:rFonts w:ascii="Times New Roman" w:hAnsi="Times New Roman" w:cs="Times New Roman"/>
          <w:sz w:val="24"/>
          <w:szCs w:val="24"/>
        </w:rPr>
        <w:t>during risk management and control procedures</w:t>
      </w:r>
      <w:r w:rsidR="00E87A45" w:rsidRPr="001055B5">
        <w:rPr>
          <w:rFonts w:ascii="Times New Roman" w:hAnsi="Times New Roman" w:cs="Times New Roman"/>
          <w:sz w:val="24"/>
          <w:szCs w:val="24"/>
        </w:rPr>
        <w:t xml:space="preserve">, </w:t>
      </w:r>
      <w:r w:rsidR="00EA49E0">
        <w:rPr>
          <w:rFonts w:ascii="Times New Roman" w:hAnsi="Times New Roman" w:cs="Times New Roman"/>
          <w:sz w:val="24"/>
          <w:szCs w:val="24"/>
        </w:rPr>
        <w:t>requiring</w:t>
      </w:r>
      <w:r w:rsidR="00E87A45" w:rsidRPr="001055B5">
        <w:rPr>
          <w:rFonts w:ascii="Times New Roman" w:hAnsi="Times New Roman" w:cs="Times New Roman"/>
          <w:sz w:val="24"/>
          <w:szCs w:val="24"/>
        </w:rPr>
        <w:t xml:space="preserve"> </w:t>
      </w:r>
      <w:r w:rsidR="00EA49E0">
        <w:rPr>
          <w:rFonts w:ascii="Times New Roman" w:hAnsi="Times New Roman" w:cs="Times New Roman"/>
          <w:sz w:val="24"/>
          <w:szCs w:val="24"/>
        </w:rPr>
        <w:t>extra staff and</w:t>
      </w:r>
      <w:r w:rsidR="00E87A45" w:rsidRPr="001055B5">
        <w:rPr>
          <w:rFonts w:ascii="Times New Roman" w:hAnsi="Times New Roman" w:cs="Times New Roman"/>
          <w:sz w:val="24"/>
          <w:szCs w:val="24"/>
        </w:rPr>
        <w:t xml:space="preserve"> administrative resources. </w:t>
      </w:r>
      <w:r w:rsidR="000F32EC">
        <w:rPr>
          <w:rFonts w:ascii="Times New Roman" w:hAnsi="Times New Roman" w:cs="Times New Roman"/>
          <w:sz w:val="24"/>
          <w:szCs w:val="24"/>
        </w:rPr>
        <w:t>Moreover</w:t>
      </w:r>
      <w:r w:rsidR="00E87A45" w:rsidRPr="001055B5">
        <w:rPr>
          <w:rFonts w:ascii="Times New Roman" w:hAnsi="Times New Roman" w:cs="Times New Roman"/>
          <w:sz w:val="24"/>
          <w:szCs w:val="24"/>
        </w:rPr>
        <w:t xml:space="preserve">, being liable to disclose publicly their financial information, insurers may </w:t>
      </w:r>
      <w:r w:rsidR="000F32EC">
        <w:rPr>
          <w:rFonts w:ascii="Times New Roman" w:hAnsi="Times New Roman" w:cs="Times New Roman"/>
          <w:sz w:val="24"/>
          <w:szCs w:val="24"/>
        </w:rPr>
        <w:t>adversely affect</w:t>
      </w:r>
      <w:r w:rsidR="00E87A45" w:rsidRPr="001055B5">
        <w:rPr>
          <w:rFonts w:ascii="Times New Roman" w:hAnsi="Times New Roman" w:cs="Times New Roman"/>
          <w:sz w:val="24"/>
          <w:szCs w:val="24"/>
        </w:rPr>
        <w:t xml:space="preserve"> their reputation by having too large a part of discontinued business on their balance sheets. </w:t>
      </w:r>
      <w:r w:rsidR="00985CD0">
        <w:rPr>
          <w:rFonts w:ascii="Times New Roman" w:hAnsi="Times New Roman" w:cs="Times New Roman"/>
          <w:sz w:val="24"/>
          <w:szCs w:val="24"/>
        </w:rPr>
        <w:t>I</w:t>
      </w:r>
      <w:r w:rsidR="00E87A45" w:rsidRPr="001055B5">
        <w:rPr>
          <w:rFonts w:ascii="Times New Roman" w:hAnsi="Times New Roman" w:cs="Times New Roman"/>
          <w:sz w:val="24"/>
          <w:szCs w:val="24"/>
        </w:rPr>
        <w:t>t is</w:t>
      </w:r>
      <w:r w:rsidR="00985CD0">
        <w:rPr>
          <w:rFonts w:ascii="Times New Roman" w:hAnsi="Times New Roman" w:cs="Times New Roman"/>
          <w:sz w:val="24"/>
          <w:szCs w:val="24"/>
        </w:rPr>
        <w:t xml:space="preserve"> also</w:t>
      </w:r>
      <w:r w:rsidR="00E87A45" w:rsidRPr="001055B5">
        <w:rPr>
          <w:rFonts w:ascii="Times New Roman" w:hAnsi="Times New Roman" w:cs="Times New Roman"/>
          <w:sz w:val="24"/>
          <w:szCs w:val="24"/>
        </w:rPr>
        <w:t xml:space="preserve"> likely to </w:t>
      </w:r>
      <w:r w:rsidR="00985CD0">
        <w:rPr>
          <w:rFonts w:ascii="Times New Roman" w:hAnsi="Times New Roman" w:cs="Times New Roman"/>
          <w:sz w:val="24"/>
          <w:szCs w:val="24"/>
        </w:rPr>
        <w:t>attract</w:t>
      </w:r>
      <w:r w:rsidR="00E87A45" w:rsidRPr="001055B5">
        <w:rPr>
          <w:rFonts w:ascii="Times New Roman" w:hAnsi="Times New Roman" w:cs="Times New Roman"/>
          <w:sz w:val="24"/>
          <w:szCs w:val="24"/>
        </w:rPr>
        <w:t xml:space="preserve"> negative response from rating agencies and a drop in a company’s rating as a result. </w:t>
      </w:r>
      <w:r w:rsidR="00DC79DD" w:rsidRPr="001055B5">
        <w:rPr>
          <w:rFonts w:ascii="Times New Roman" w:hAnsi="Times New Roman" w:cs="Times New Roman"/>
          <w:sz w:val="24"/>
          <w:szCs w:val="24"/>
        </w:rPr>
        <w:t xml:space="preserve">Thus, apart from generating </w:t>
      </w:r>
      <w:r w:rsidR="00985CD0">
        <w:rPr>
          <w:rFonts w:ascii="Times New Roman" w:hAnsi="Times New Roman" w:cs="Times New Roman"/>
          <w:sz w:val="24"/>
          <w:szCs w:val="24"/>
        </w:rPr>
        <w:t xml:space="preserve">little to no </w:t>
      </w:r>
      <w:r w:rsidR="00DC79DD" w:rsidRPr="001055B5">
        <w:rPr>
          <w:rFonts w:ascii="Times New Roman" w:hAnsi="Times New Roman" w:cs="Times New Roman"/>
          <w:sz w:val="24"/>
          <w:szCs w:val="24"/>
        </w:rPr>
        <w:t xml:space="preserve">profit for </w:t>
      </w:r>
      <w:r w:rsidR="00D87E35">
        <w:rPr>
          <w:rFonts w:ascii="Times New Roman" w:hAnsi="Times New Roman" w:cs="Times New Roman"/>
          <w:sz w:val="24"/>
          <w:szCs w:val="24"/>
        </w:rPr>
        <w:t>(re)</w:t>
      </w:r>
      <w:r w:rsidR="00DC79DD" w:rsidRPr="001055B5">
        <w:rPr>
          <w:rFonts w:ascii="Times New Roman" w:hAnsi="Times New Roman" w:cs="Times New Roman"/>
          <w:sz w:val="24"/>
          <w:szCs w:val="24"/>
        </w:rPr>
        <w:t xml:space="preserve">insurers, a run-off portfolio under Solvency II creates additional pressure on company’s capital and other resources. </w:t>
      </w:r>
    </w:p>
    <w:p w:rsidR="006E235A" w:rsidRDefault="00F97FF5" w:rsidP="005B1DA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situation is still worse for t</w:t>
      </w:r>
      <w:r w:rsidR="006E235A" w:rsidRPr="001055B5">
        <w:rPr>
          <w:rFonts w:ascii="Times New Roman" w:hAnsi="Times New Roman" w:cs="Times New Roman"/>
          <w:sz w:val="24"/>
          <w:szCs w:val="24"/>
        </w:rPr>
        <w:t>he companies discontinuing all their lines of business and exiting the insurance market</w:t>
      </w:r>
      <w:r>
        <w:rPr>
          <w:rFonts w:ascii="Times New Roman" w:hAnsi="Times New Roman" w:cs="Times New Roman"/>
          <w:sz w:val="24"/>
          <w:szCs w:val="24"/>
        </w:rPr>
        <w:t xml:space="preserve"> (firms entirely in run-off)</w:t>
      </w:r>
      <w:r w:rsidR="004618DF">
        <w:rPr>
          <w:rFonts w:ascii="Times New Roman" w:hAnsi="Times New Roman" w:cs="Times New Roman"/>
          <w:sz w:val="24"/>
          <w:szCs w:val="24"/>
        </w:rPr>
        <w:t>. T</w:t>
      </w:r>
      <w:r>
        <w:rPr>
          <w:rFonts w:ascii="Times New Roman" w:hAnsi="Times New Roman" w:cs="Times New Roman"/>
          <w:sz w:val="24"/>
          <w:szCs w:val="24"/>
        </w:rPr>
        <w:t xml:space="preserve">hey </w:t>
      </w:r>
      <w:r w:rsidR="006E235A" w:rsidRPr="001055B5">
        <w:rPr>
          <w:rFonts w:ascii="Times New Roman" w:hAnsi="Times New Roman" w:cs="Times New Roman"/>
          <w:sz w:val="24"/>
          <w:szCs w:val="24"/>
        </w:rPr>
        <w:t>find the new rules disproportionately expensive</w:t>
      </w:r>
      <w:r w:rsidR="004618DF">
        <w:rPr>
          <w:rFonts w:ascii="Times New Roman" w:hAnsi="Times New Roman" w:cs="Times New Roman"/>
          <w:sz w:val="24"/>
          <w:szCs w:val="24"/>
        </w:rPr>
        <w:t xml:space="preserve"> considering the l</w:t>
      </w:r>
      <w:r w:rsidR="006E235A" w:rsidRPr="001055B5">
        <w:rPr>
          <w:rFonts w:ascii="Times New Roman" w:hAnsi="Times New Roman" w:cs="Times New Roman"/>
          <w:sz w:val="24"/>
          <w:szCs w:val="24"/>
        </w:rPr>
        <w:t xml:space="preserve">imited sources of revenue and decreased attractiveness for investors </w:t>
      </w:r>
      <w:r w:rsidR="004618DF">
        <w:rPr>
          <w:rFonts w:ascii="Times New Roman" w:hAnsi="Times New Roman" w:cs="Times New Roman"/>
          <w:sz w:val="24"/>
          <w:szCs w:val="24"/>
        </w:rPr>
        <w:t>of such undertakings. At the same time they have</w:t>
      </w:r>
      <w:r w:rsidR="006E235A" w:rsidRPr="001055B5">
        <w:rPr>
          <w:rFonts w:ascii="Times New Roman" w:hAnsi="Times New Roman" w:cs="Times New Roman"/>
          <w:sz w:val="24"/>
          <w:szCs w:val="24"/>
        </w:rPr>
        <w:t xml:space="preserve"> to </w:t>
      </w:r>
      <w:r w:rsidR="004618DF">
        <w:rPr>
          <w:rFonts w:ascii="Times New Roman" w:hAnsi="Times New Roman" w:cs="Times New Roman"/>
          <w:sz w:val="24"/>
          <w:szCs w:val="24"/>
        </w:rPr>
        <w:t xml:space="preserve">comply </w:t>
      </w:r>
      <w:r w:rsidR="006E235A" w:rsidRPr="001055B5">
        <w:rPr>
          <w:rFonts w:ascii="Times New Roman" w:hAnsi="Times New Roman" w:cs="Times New Roman"/>
          <w:sz w:val="24"/>
          <w:szCs w:val="24"/>
        </w:rPr>
        <w:t xml:space="preserve">with </w:t>
      </w:r>
      <w:r w:rsidR="004618DF">
        <w:rPr>
          <w:rFonts w:ascii="Times New Roman" w:hAnsi="Times New Roman" w:cs="Times New Roman"/>
          <w:sz w:val="24"/>
          <w:szCs w:val="24"/>
        </w:rPr>
        <w:t xml:space="preserve">the </w:t>
      </w:r>
      <w:r w:rsidR="006E235A" w:rsidRPr="001055B5">
        <w:rPr>
          <w:rFonts w:ascii="Times New Roman" w:hAnsi="Times New Roman" w:cs="Times New Roman"/>
          <w:sz w:val="24"/>
          <w:szCs w:val="24"/>
        </w:rPr>
        <w:t>capital, regulatory and reporting requirements of Solvency II</w:t>
      </w:r>
      <w:r w:rsidR="004618DF">
        <w:rPr>
          <w:rFonts w:ascii="Times New Roman" w:hAnsi="Times New Roman" w:cs="Times New Roman"/>
          <w:sz w:val="24"/>
          <w:szCs w:val="24"/>
        </w:rPr>
        <w:t>.</w:t>
      </w:r>
      <w:r w:rsidR="006E235A" w:rsidRPr="001055B5">
        <w:rPr>
          <w:rFonts w:ascii="Times New Roman" w:hAnsi="Times New Roman" w:cs="Times New Roman"/>
          <w:sz w:val="24"/>
          <w:szCs w:val="24"/>
        </w:rPr>
        <w:t xml:space="preserve"> </w:t>
      </w:r>
      <w:r w:rsidR="004618DF">
        <w:rPr>
          <w:rFonts w:ascii="Times New Roman" w:hAnsi="Times New Roman" w:cs="Times New Roman"/>
          <w:sz w:val="24"/>
          <w:szCs w:val="24"/>
        </w:rPr>
        <w:t>T</w:t>
      </w:r>
      <w:r w:rsidR="006E235A" w:rsidRPr="001055B5">
        <w:rPr>
          <w:rFonts w:ascii="Times New Roman" w:hAnsi="Times New Roman" w:cs="Times New Roman"/>
          <w:sz w:val="24"/>
          <w:szCs w:val="24"/>
        </w:rPr>
        <w:t>he exemptions provided will not benefit all the companies due to</w:t>
      </w:r>
      <w:r w:rsidR="00A616B2" w:rsidRPr="001055B5">
        <w:rPr>
          <w:rFonts w:ascii="Times New Roman" w:hAnsi="Times New Roman" w:cs="Times New Roman"/>
          <w:sz w:val="24"/>
          <w:szCs w:val="24"/>
        </w:rPr>
        <w:t xml:space="preserve"> the high qualification criteria and often unrealistic timelines. It remains to be see</w:t>
      </w:r>
      <w:r w:rsidR="00E97E9E" w:rsidRPr="001055B5">
        <w:rPr>
          <w:rFonts w:ascii="Times New Roman" w:hAnsi="Times New Roman" w:cs="Times New Roman"/>
          <w:sz w:val="24"/>
          <w:szCs w:val="24"/>
        </w:rPr>
        <w:t>n</w:t>
      </w:r>
      <w:r w:rsidR="00A616B2" w:rsidRPr="001055B5">
        <w:rPr>
          <w:rFonts w:ascii="Times New Roman" w:hAnsi="Times New Roman" w:cs="Times New Roman"/>
          <w:sz w:val="24"/>
          <w:szCs w:val="24"/>
        </w:rPr>
        <w:t xml:space="preserve"> how</w:t>
      </w:r>
      <w:r w:rsidR="00531BF9" w:rsidRPr="001055B5">
        <w:rPr>
          <w:rFonts w:ascii="Times New Roman" w:hAnsi="Times New Roman" w:cs="Times New Roman"/>
          <w:sz w:val="24"/>
          <w:szCs w:val="24"/>
        </w:rPr>
        <w:t xml:space="preserve"> the</w:t>
      </w:r>
      <w:r w:rsidR="00A616B2" w:rsidRPr="001055B5">
        <w:rPr>
          <w:rFonts w:ascii="Times New Roman" w:hAnsi="Times New Roman" w:cs="Times New Roman"/>
          <w:sz w:val="24"/>
          <w:szCs w:val="24"/>
        </w:rPr>
        <w:t xml:space="preserve"> run-off firms will adapt to the new legislation. </w:t>
      </w:r>
    </w:p>
    <w:p w:rsidR="004618DF" w:rsidRPr="001055B5" w:rsidRDefault="004618DF" w:rsidP="004618D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despite all the negative changes for the firms with discontinued business, the Solvency II could bring them large benefits in the long run. </w:t>
      </w:r>
      <w:r w:rsidR="0049755C">
        <w:rPr>
          <w:rFonts w:ascii="Times New Roman" w:hAnsi="Times New Roman" w:cs="Times New Roman"/>
          <w:sz w:val="24"/>
          <w:szCs w:val="24"/>
        </w:rPr>
        <w:t>Considering that</w:t>
      </w:r>
      <w:r w:rsidRPr="001055B5">
        <w:rPr>
          <w:rFonts w:ascii="Times New Roman" w:hAnsi="Times New Roman" w:cs="Times New Roman"/>
          <w:sz w:val="24"/>
          <w:szCs w:val="24"/>
        </w:rPr>
        <w:t xml:space="preserve"> passive </w:t>
      </w:r>
      <w:r w:rsidRPr="001055B5">
        <w:rPr>
          <w:rFonts w:ascii="Times New Roman" w:hAnsi="Times New Roman" w:cs="Times New Roman"/>
          <w:sz w:val="24"/>
          <w:szCs w:val="24"/>
        </w:rPr>
        <w:lastRenderedPageBreak/>
        <w:t>management of discontinued business is no longer a feasible option for most of the undertakings</w:t>
      </w:r>
      <w:r w:rsidR="0049755C">
        <w:rPr>
          <w:rFonts w:ascii="Times New Roman" w:hAnsi="Times New Roman" w:cs="Times New Roman"/>
          <w:sz w:val="24"/>
          <w:szCs w:val="24"/>
        </w:rPr>
        <w:t xml:space="preserve">, they will be forced to re-evaluate their run-off portfolios and, perhaps for the first time, look for the ways to actively manage them. This will increase the firms’ understanding of their business profile and allow unlocking additional capital, tied up in those legacy portfolios. The released capital could be then directed to the development of new business lines or improvement of the existing practices. The insurance industry expects that </w:t>
      </w:r>
      <w:r w:rsidRPr="001055B5">
        <w:rPr>
          <w:rFonts w:ascii="Times New Roman" w:hAnsi="Times New Roman" w:cs="Times New Roman"/>
          <w:sz w:val="24"/>
          <w:szCs w:val="24"/>
        </w:rPr>
        <w:t>the demand for active management</w:t>
      </w:r>
      <w:r w:rsidR="00FA1CBF">
        <w:rPr>
          <w:rFonts w:ascii="Times New Roman" w:hAnsi="Times New Roman" w:cs="Times New Roman"/>
          <w:sz w:val="24"/>
          <w:szCs w:val="24"/>
        </w:rPr>
        <w:t xml:space="preserve"> of discontinued insurance business</w:t>
      </w:r>
      <w:r w:rsidRPr="001055B5">
        <w:rPr>
          <w:rFonts w:ascii="Times New Roman" w:hAnsi="Times New Roman" w:cs="Times New Roman"/>
          <w:sz w:val="24"/>
          <w:szCs w:val="24"/>
        </w:rPr>
        <w:t xml:space="preserve"> and exit mechanisms is likely to increase. The latest survey of the run-off market shows that 47% of insurers think that Solvency II will result in higher focus on exit options for discontinued business.</w:t>
      </w:r>
      <w:r w:rsidRPr="001055B5">
        <w:rPr>
          <w:rStyle w:val="Funotenzeichen"/>
          <w:rFonts w:ascii="Times New Roman" w:hAnsi="Times New Roman" w:cs="Times New Roman"/>
          <w:sz w:val="24"/>
          <w:szCs w:val="24"/>
        </w:rPr>
        <w:footnoteReference w:id="63"/>
      </w:r>
    </w:p>
    <w:p w:rsidR="00E87A45" w:rsidRDefault="00E87A45" w:rsidP="005B1DA4">
      <w:pPr>
        <w:spacing w:after="0" w:line="360" w:lineRule="auto"/>
        <w:ind w:firstLine="720"/>
        <w:jc w:val="both"/>
        <w:rPr>
          <w:rFonts w:ascii="Times New Roman" w:hAnsi="Times New Roman" w:cs="Times New Roman"/>
          <w:sz w:val="24"/>
          <w:szCs w:val="24"/>
        </w:rPr>
      </w:pPr>
      <w:r w:rsidRPr="001055B5">
        <w:rPr>
          <w:rFonts w:ascii="Times New Roman" w:hAnsi="Times New Roman" w:cs="Times New Roman"/>
          <w:sz w:val="24"/>
          <w:szCs w:val="24"/>
        </w:rPr>
        <w:t xml:space="preserve">Therefore the </w:t>
      </w:r>
      <w:r w:rsidR="00FA1CBF">
        <w:rPr>
          <w:rFonts w:ascii="Times New Roman" w:hAnsi="Times New Roman" w:cs="Times New Roman"/>
          <w:sz w:val="24"/>
          <w:szCs w:val="24"/>
        </w:rPr>
        <w:t>analysis</w:t>
      </w:r>
      <w:r w:rsidRPr="001055B5">
        <w:rPr>
          <w:rFonts w:ascii="Times New Roman" w:hAnsi="Times New Roman" w:cs="Times New Roman"/>
          <w:sz w:val="24"/>
          <w:szCs w:val="24"/>
        </w:rPr>
        <w:t xml:space="preserve"> and comparison of the options for active management of run-off portfolios should become a focus of further research. </w:t>
      </w:r>
      <w:r w:rsidR="00CE0C4C">
        <w:rPr>
          <w:rFonts w:ascii="Times New Roman" w:hAnsi="Times New Roman" w:cs="Times New Roman"/>
          <w:sz w:val="24"/>
          <w:szCs w:val="24"/>
        </w:rPr>
        <w:t>As result</w:t>
      </w:r>
      <w:r w:rsidR="00FA1CBF">
        <w:rPr>
          <w:rFonts w:ascii="Times New Roman" w:hAnsi="Times New Roman" w:cs="Times New Roman"/>
          <w:sz w:val="24"/>
          <w:szCs w:val="24"/>
        </w:rPr>
        <w:t xml:space="preserve"> i</w:t>
      </w:r>
      <w:r w:rsidRPr="001055B5">
        <w:rPr>
          <w:rFonts w:ascii="Times New Roman" w:hAnsi="Times New Roman" w:cs="Times New Roman"/>
          <w:sz w:val="24"/>
          <w:szCs w:val="24"/>
        </w:rPr>
        <w:t xml:space="preserve">nnovative </w:t>
      </w:r>
      <w:r w:rsidR="002F176E" w:rsidRPr="001055B5">
        <w:rPr>
          <w:rFonts w:ascii="Times New Roman" w:hAnsi="Times New Roman" w:cs="Times New Roman"/>
          <w:sz w:val="24"/>
          <w:szCs w:val="24"/>
        </w:rPr>
        <w:t xml:space="preserve">management </w:t>
      </w:r>
      <w:r w:rsidRPr="001055B5">
        <w:rPr>
          <w:rFonts w:ascii="Times New Roman" w:hAnsi="Times New Roman" w:cs="Times New Roman"/>
          <w:sz w:val="24"/>
          <w:szCs w:val="24"/>
        </w:rPr>
        <w:t>methods, which have not been previously considered</w:t>
      </w:r>
      <w:r w:rsidR="00FA1CBF">
        <w:rPr>
          <w:rFonts w:ascii="Times New Roman" w:hAnsi="Times New Roman" w:cs="Times New Roman"/>
          <w:sz w:val="24"/>
          <w:szCs w:val="24"/>
        </w:rPr>
        <w:t>, may be discovered</w:t>
      </w:r>
      <w:r w:rsidRPr="001055B5">
        <w:rPr>
          <w:rFonts w:ascii="Times New Roman" w:hAnsi="Times New Roman" w:cs="Times New Roman"/>
          <w:sz w:val="24"/>
          <w:szCs w:val="24"/>
        </w:rPr>
        <w:t>. It could be investigated which exit mechanisms have more advantages depending on the circumstances and needs of particular types of companies (small, medium-sized, insurance groups, etc). The ways in which insurance companies can take advantage of the harmonising EU legislation (eg Cross-border merger Directive</w:t>
      </w:r>
      <w:r w:rsidRPr="001055B5">
        <w:rPr>
          <w:rStyle w:val="Funotenzeichen"/>
          <w:rFonts w:ascii="Times New Roman" w:hAnsi="Times New Roman" w:cs="Times New Roman"/>
          <w:sz w:val="24"/>
          <w:szCs w:val="24"/>
        </w:rPr>
        <w:footnoteReference w:id="64"/>
      </w:r>
      <w:r w:rsidRPr="001055B5">
        <w:rPr>
          <w:rFonts w:ascii="Times New Roman" w:hAnsi="Times New Roman" w:cs="Times New Roman"/>
          <w:sz w:val="24"/>
          <w:szCs w:val="24"/>
        </w:rPr>
        <w:t xml:space="preserve">) for optimisation of their discontinued business also </w:t>
      </w:r>
      <w:r w:rsidR="00FA1CBF">
        <w:rPr>
          <w:rFonts w:ascii="Times New Roman" w:hAnsi="Times New Roman" w:cs="Times New Roman"/>
          <w:sz w:val="24"/>
          <w:szCs w:val="24"/>
        </w:rPr>
        <w:t>warrant</w:t>
      </w:r>
      <w:r w:rsidRPr="001055B5">
        <w:rPr>
          <w:rFonts w:ascii="Times New Roman" w:hAnsi="Times New Roman" w:cs="Times New Roman"/>
          <w:sz w:val="24"/>
          <w:szCs w:val="24"/>
        </w:rPr>
        <w:t xml:space="preserve"> consideration. As an alternative, the impact of the active run-off management on the insurers’ relations with their customers could prove to be an interesting area for </w:t>
      </w:r>
      <w:r w:rsidR="00AE004F">
        <w:rPr>
          <w:rFonts w:ascii="Times New Roman" w:hAnsi="Times New Roman" w:cs="Times New Roman"/>
          <w:sz w:val="24"/>
          <w:szCs w:val="24"/>
        </w:rPr>
        <w:t>investigation</w:t>
      </w:r>
      <w:r w:rsidRPr="001055B5">
        <w:rPr>
          <w:rFonts w:ascii="Times New Roman" w:hAnsi="Times New Roman" w:cs="Times New Roman"/>
          <w:sz w:val="24"/>
          <w:szCs w:val="24"/>
        </w:rPr>
        <w:t>. Finally</w:t>
      </w:r>
      <w:r w:rsidR="003D6260">
        <w:rPr>
          <w:rFonts w:ascii="Times New Roman" w:hAnsi="Times New Roman" w:cs="Times New Roman"/>
          <w:sz w:val="24"/>
          <w:szCs w:val="24"/>
        </w:rPr>
        <w:t>,</w:t>
      </w:r>
      <w:r w:rsidRPr="001055B5">
        <w:rPr>
          <w:rFonts w:ascii="Times New Roman" w:hAnsi="Times New Roman" w:cs="Times New Roman"/>
          <w:sz w:val="24"/>
          <w:szCs w:val="24"/>
        </w:rPr>
        <w:t xml:space="preserve"> the quantitative impact of Solvency II specifically on discontinued business should be </w:t>
      </w:r>
      <w:r w:rsidR="006F7BED">
        <w:rPr>
          <w:rFonts w:ascii="Times New Roman" w:hAnsi="Times New Roman" w:cs="Times New Roman"/>
          <w:sz w:val="24"/>
          <w:szCs w:val="24"/>
        </w:rPr>
        <w:t>researched</w:t>
      </w:r>
      <w:r w:rsidRPr="001055B5">
        <w:rPr>
          <w:rFonts w:ascii="Times New Roman" w:hAnsi="Times New Roman" w:cs="Times New Roman"/>
          <w:sz w:val="24"/>
          <w:szCs w:val="24"/>
        </w:rPr>
        <w:t xml:space="preserve"> further on the examples of various run-off portfolios.  </w:t>
      </w:r>
    </w:p>
    <w:p w:rsidR="002E6FC5" w:rsidRDefault="002E6FC5" w:rsidP="005B1DA4">
      <w:pPr>
        <w:spacing w:after="0" w:line="360" w:lineRule="auto"/>
        <w:ind w:firstLine="720"/>
        <w:jc w:val="both"/>
        <w:rPr>
          <w:rFonts w:ascii="Times New Roman" w:hAnsi="Times New Roman" w:cs="Times New Roman"/>
          <w:sz w:val="24"/>
          <w:szCs w:val="24"/>
        </w:rPr>
      </w:pPr>
    </w:p>
    <w:p w:rsidR="002E6FC5" w:rsidRDefault="002E6FC5" w:rsidP="005B1DA4">
      <w:pPr>
        <w:spacing w:after="0" w:line="360" w:lineRule="auto"/>
        <w:ind w:firstLine="720"/>
        <w:jc w:val="both"/>
        <w:rPr>
          <w:rFonts w:ascii="Times New Roman" w:hAnsi="Times New Roman" w:cs="Times New Roman"/>
          <w:sz w:val="24"/>
          <w:szCs w:val="24"/>
        </w:rPr>
      </w:pPr>
    </w:p>
    <w:p w:rsidR="00735DC9" w:rsidRDefault="000B2115" w:rsidP="000B2115">
      <w:pPr>
        <w:spacing w:after="0" w:line="360" w:lineRule="auto"/>
        <w:ind w:firstLine="720"/>
        <w:jc w:val="center"/>
        <w:rPr>
          <w:rFonts w:ascii="Times New Roman" w:hAnsi="Times New Roman" w:cs="Times New Roman"/>
          <w:b/>
          <w:sz w:val="24"/>
          <w:szCs w:val="24"/>
        </w:rPr>
      </w:pPr>
      <w:r w:rsidRPr="001055B5">
        <w:rPr>
          <w:rFonts w:ascii="Times New Roman" w:hAnsi="Times New Roman" w:cs="Times New Roman"/>
          <w:b/>
          <w:sz w:val="24"/>
          <w:szCs w:val="24"/>
        </w:rPr>
        <w:t>Bibliography</w:t>
      </w:r>
    </w:p>
    <w:p w:rsidR="00B3140B" w:rsidRPr="001055B5" w:rsidRDefault="00B3140B" w:rsidP="000B2115">
      <w:pPr>
        <w:spacing w:after="0" w:line="360" w:lineRule="auto"/>
        <w:ind w:firstLine="720"/>
        <w:jc w:val="center"/>
        <w:rPr>
          <w:rFonts w:ascii="Times New Roman" w:hAnsi="Times New Roman" w:cs="Times New Roman"/>
          <w:b/>
          <w:sz w:val="24"/>
          <w:szCs w:val="24"/>
        </w:rPr>
      </w:pPr>
    </w:p>
    <w:p w:rsidR="00B3140B" w:rsidRPr="00B3140B" w:rsidRDefault="00B3140B" w:rsidP="00B3140B">
      <w:pPr>
        <w:pStyle w:val="StandardWeb"/>
        <w:spacing w:before="0" w:beforeAutospacing="0"/>
        <w:ind w:left="448" w:hanging="448"/>
        <w:rPr>
          <w:color w:val="000000"/>
        </w:rPr>
      </w:pPr>
      <w:r w:rsidRPr="00B3140B">
        <w:rPr>
          <w:color w:val="000000"/>
        </w:rPr>
        <w:t>Basel Committee on Banking Supervision, </w:t>
      </w:r>
      <w:r w:rsidRPr="00B3140B">
        <w:rPr>
          <w:i/>
          <w:iCs/>
          <w:color w:val="000000"/>
        </w:rPr>
        <w:t>International Convergence of Capital Measurement and Capital Standards: A Revised Framework Comprehensive Version </w:t>
      </w:r>
      <w:r>
        <w:rPr>
          <w:color w:val="000000"/>
        </w:rPr>
        <w:t>(</w:t>
      </w:r>
      <w:r w:rsidRPr="00B3140B">
        <w:rPr>
          <w:color w:val="000000"/>
        </w:rPr>
        <w:t>2006)</w:t>
      </w:r>
    </w:p>
    <w:p w:rsidR="00B3140B" w:rsidRPr="00B3140B" w:rsidRDefault="00B3140B" w:rsidP="00B3140B">
      <w:pPr>
        <w:pStyle w:val="StandardWeb"/>
        <w:spacing w:before="0" w:beforeAutospacing="0"/>
        <w:ind w:left="448" w:hanging="448"/>
        <w:rPr>
          <w:color w:val="000000"/>
        </w:rPr>
      </w:pPr>
      <w:r w:rsidRPr="00B3140B">
        <w:rPr>
          <w:color w:val="000000"/>
        </w:rPr>
        <w:t>Bugler N and others, 'The Future of Solvent Schemes of Arrangement for Insurance Run-Off' (2006) 13(1) Journal of Reinsurance 29</w:t>
      </w:r>
    </w:p>
    <w:p w:rsidR="00B3140B" w:rsidRPr="00B3140B" w:rsidRDefault="00B3140B" w:rsidP="00B3140B">
      <w:pPr>
        <w:pStyle w:val="StandardWeb"/>
        <w:spacing w:before="0" w:beforeAutospacing="0"/>
        <w:ind w:left="448" w:hanging="448"/>
        <w:rPr>
          <w:color w:val="000000"/>
        </w:rPr>
      </w:pPr>
      <w:r w:rsidRPr="00B3140B">
        <w:rPr>
          <w:color w:val="000000"/>
        </w:rPr>
        <w:lastRenderedPageBreak/>
        <w:t xml:space="preserve">Carter S, Bailey B and Butcher T, 'Exit Strategies in the Run-Off Market' </w:t>
      </w:r>
      <w:r>
        <w:rPr>
          <w:color w:val="000000"/>
        </w:rPr>
        <w:t>(2006) 56(2) FDCC Quarterly 219</w:t>
      </w:r>
    </w:p>
    <w:p w:rsidR="00B3140B" w:rsidRDefault="00B3140B" w:rsidP="00B3140B">
      <w:pPr>
        <w:pStyle w:val="StandardWeb"/>
        <w:spacing w:before="0" w:beforeAutospacing="0"/>
        <w:ind w:left="448" w:hanging="448"/>
        <w:rPr>
          <w:color w:val="000000"/>
        </w:rPr>
      </w:pPr>
      <w:r w:rsidRPr="00B3140B">
        <w:rPr>
          <w:color w:val="000000"/>
        </w:rPr>
        <w:t xml:space="preserve">Casualty Actuarial Society, </w:t>
      </w:r>
      <w:r>
        <w:rPr>
          <w:color w:val="000000"/>
        </w:rPr>
        <w:t>‘</w:t>
      </w:r>
      <w:r w:rsidRPr="00B3140B">
        <w:rPr>
          <w:color w:val="000000"/>
        </w:rPr>
        <w:t>The Business of Run-Off</w:t>
      </w:r>
      <w:r>
        <w:rPr>
          <w:color w:val="000000"/>
        </w:rPr>
        <w:t>’</w:t>
      </w:r>
      <w:r w:rsidRPr="00B3140B">
        <w:rPr>
          <w:color w:val="000000"/>
        </w:rPr>
        <w:t xml:space="preserve"> (</w:t>
      </w:r>
      <w:r>
        <w:rPr>
          <w:color w:val="000000"/>
        </w:rPr>
        <w:t>2011</w:t>
      </w:r>
      <w:r w:rsidRPr="00B3140B">
        <w:rPr>
          <w:color w:val="000000"/>
        </w:rPr>
        <w:t xml:space="preserve">) </w:t>
      </w:r>
    </w:p>
    <w:p w:rsidR="00B3140B" w:rsidRPr="00B3140B" w:rsidRDefault="00414AE5" w:rsidP="00B3140B">
      <w:pPr>
        <w:pStyle w:val="StandardWeb"/>
        <w:spacing w:before="0" w:beforeAutospacing="0"/>
        <w:ind w:left="448" w:hanging="448"/>
        <w:rPr>
          <w:color w:val="000000"/>
        </w:rPr>
      </w:pPr>
      <w:r>
        <w:rPr>
          <w:color w:val="000000"/>
        </w:rPr>
        <w:t>Darag,</w:t>
      </w:r>
      <w:r w:rsidR="00B3140B" w:rsidRPr="00B3140B">
        <w:rPr>
          <w:color w:val="000000"/>
        </w:rPr>
        <w:t xml:space="preserve"> 'Where does Run-off occur?' (2014)</w:t>
      </w:r>
    </w:p>
    <w:p w:rsidR="00B3140B" w:rsidRPr="00B3140B" w:rsidRDefault="00B3140B" w:rsidP="00B3140B">
      <w:pPr>
        <w:pStyle w:val="StandardWeb"/>
        <w:spacing w:before="0" w:beforeAutospacing="0"/>
        <w:ind w:left="448" w:hanging="448"/>
        <w:rPr>
          <w:color w:val="000000"/>
        </w:rPr>
      </w:pPr>
      <w:r w:rsidRPr="00B3140B">
        <w:rPr>
          <w:color w:val="000000"/>
        </w:rPr>
        <w:t>Directive 2002/12/EC of The European Parliament and of The Council of 5 March 2002 amending Council Directive 79/267/EEC as regards the solvency margin requirements for life assurance undertakings [2002] OJ L 77/11</w:t>
      </w:r>
    </w:p>
    <w:p w:rsidR="00B3140B" w:rsidRPr="00B3140B" w:rsidRDefault="00B3140B" w:rsidP="00B3140B">
      <w:pPr>
        <w:pStyle w:val="StandardWeb"/>
        <w:spacing w:before="0" w:beforeAutospacing="0"/>
        <w:ind w:left="448" w:hanging="448"/>
        <w:rPr>
          <w:color w:val="000000"/>
        </w:rPr>
      </w:pPr>
      <w:r w:rsidRPr="00B3140B">
        <w:rPr>
          <w:color w:val="000000"/>
        </w:rPr>
        <w:t>Directive 2002/13/EC of The European Parliament and of The Council of 5 March 2002 amending Council Directive 73/239/EEC as regards the solvency margin requirements for non-life insurance undertakings (Non-life Directive) [2002] OJ L 77/17</w:t>
      </w:r>
    </w:p>
    <w:p w:rsidR="00B3140B" w:rsidRPr="00B3140B" w:rsidRDefault="00B3140B" w:rsidP="00B3140B">
      <w:pPr>
        <w:pStyle w:val="StandardWeb"/>
        <w:spacing w:before="0" w:beforeAutospacing="0"/>
        <w:ind w:left="448" w:hanging="448"/>
        <w:rPr>
          <w:color w:val="000000"/>
        </w:rPr>
      </w:pPr>
      <w:r w:rsidRPr="00B3140B">
        <w:rPr>
          <w:color w:val="000000"/>
        </w:rPr>
        <w:t>Directive 2002/83/EC of The European Parliament and of The Council of 5 November 2002 concerning life assurance (Life Directive) [2002] OJ L 345/1</w:t>
      </w:r>
    </w:p>
    <w:p w:rsidR="00B3140B" w:rsidRPr="00B3140B" w:rsidRDefault="00B3140B" w:rsidP="00B3140B">
      <w:pPr>
        <w:pStyle w:val="StandardWeb"/>
        <w:spacing w:before="0" w:beforeAutospacing="0"/>
        <w:ind w:left="448" w:hanging="448"/>
        <w:rPr>
          <w:color w:val="000000"/>
        </w:rPr>
      </w:pPr>
      <w:r w:rsidRPr="00B3140B">
        <w:rPr>
          <w:color w:val="000000"/>
        </w:rPr>
        <w:t>Directive 2005/56/EC of the European Parliament and of the Council of 26 October 2005 on cross-border mergers of limited liability companies [2005] OJ L 310/1</w:t>
      </w:r>
    </w:p>
    <w:p w:rsidR="00B3140B" w:rsidRPr="00B3140B" w:rsidRDefault="00B3140B" w:rsidP="00B3140B">
      <w:pPr>
        <w:pStyle w:val="StandardWeb"/>
        <w:spacing w:before="0" w:beforeAutospacing="0"/>
        <w:ind w:left="448" w:hanging="448"/>
        <w:rPr>
          <w:color w:val="000000"/>
        </w:rPr>
      </w:pPr>
      <w:r w:rsidRPr="00B3140B">
        <w:rPr>
          <w:color w:val="000000"/>
        </w:rPr>
        <w:t>Directive 2009/138/EC of The European Parliament and of The Council of 25 November 2009 on the taking-up and pursuit of the business of Insurance and Reinsurance (Solvency II) [2009] OJ L 335/1</w:t>
      </w:r>
    </w:p>
    <w:p w:rsidR="00B3140B" w:rsidRPr="00B3140B" w:rsidRDefault="00B3140B" w:rsidP="00B3140B">
      <w:pPr>
        <w:pStyle w:val="StandardWeb"/>
        <w:spacing w:before="0" w:beforeAutospacing="0"/>
        <w:ind w:left="448" w:hanging="448"/>
        <w:rPr>
          <w:color w:val="000000"/>
        </w:rPr>
      </w:pPr>
      <w:r w:rsidRPr="00B3140B">
        <w:rPr>
          <w:color w:val="000000"/>
        </w:rPr>
        <w:t>Directive 2014/51/EU of the European Parliament and of the Council of 16 April 2014 amending Directives 2003/71/EC and 2009/138/EC and Regulations (EC) No 1060/2009, (EU) No 1094/2010 and (EU) No 1095/2010 in respect of the powers of the European Supervisory Authority (European Insurance and Occupational Pensions Authority) and the European Supervisory Authority (European Securities and Markets Authority) [2014] OJ L 153/1</w:t>
      </w:r>
    </w:p>
    <w:p w:rsidR="00B3140B" w:rsidRPr="00B3140B" w:rsidRDefault="00B3140B" w:rsidP="00B3140B">
      <w:pPr>
        <w:pStyle w:val="StandardWeb"/>
        <w:spacing w:before="0" w:beforeAutospacing="0"/>
        <w:ind w:left="448" w:hanging="448"/>
        <w:rPr>
          <w:color w:val="000000"/>
        </w:rPr>
      </w:pPr>
      <w:r w:rsidRPr="00B3140B">
        <w:rPr>
          <w:color w:val="000000"/>
        </w:rPr>
        <w:t>EIOPA, </w:t>
      </w:r>
      <w:r w:rsidRPr="00B3140B">
        <w:rPr>
          <w:i/>
          <w:iCs/>
          <w:color w:val="000000"/>
        </w:rPr>
        <w:t>Report on the firth Quantitative Impact Study (QIS 5) for Solvency II </w:t>
      </w:r>
      <w:r w:rsidRPr="00B3140B">
        <w:rPr>
          <w:color w:val="000000"/>
        </w:rPr>
        <w:t>(EIOPA TFQIS5-11/001, 2011)</w:t>
      </w:r>
    </w:p>
    <w:p w:rsidR="00B3140B" w:rsidRPr="00B3140B" w:rsidRDefault="00B77992" w:rsidP="00B3140B">
      <w:pPr>
        <w:pStyle w:val="StandardWeb"/>
        <w:spacing w:before="0" w:beforeAutospacing="0"/>
        <w:ind w:left="448" w:hanging="448"/>
        <w:rPr>
          <w:color w:val="000000"/>
        </w:rPr>
      </w:pPr>
      <w:r w:rsidRPr="00B3140B">
        <w:rPr>
          <w:color w:val="000000"/>
        </w:rPr>
        <w:t>EIOPA</w:t>
      </w:r>
      <w:r>
        <w:rPr>
          <w:i/>
          <w:iCs/>
          <w:color w:val="000000"/>
        </w:rPr>
        <w:t xml:space="preserve">, </w:t>
      </w:r>
      <w:r w:rsidR="00B3140B" w:rsidRPr="00B3140B">
        <w:rPr>
          <w:i/>
          <w:iCs/>
          <w:color w:val="000000"/>
        </w:rPr>
        <w:t>Final Report on Public Consultation No. 14/017 on Guidelines on own risk and solvency assessment </w:t>
      </w:r>
      <w:r w:rsidR="00B3140B" w:rsidRPr="00B3140B">
        <w:rPr>
          <w:color w:val="000000"/>
        </w:rPr>
        <w:t>(EIOPA-BoS-14/259, 2015)</w:t>
      </w:r>
    </w:p>
    <w:p w:rsidR="00B3140B" w:rsidRPr="00B3140B" w:rsidRDefault="00B3140B" w:rsidP="00B3140B">
      <w:pPr>
        <w:pStyle w:val="StandardWeb"/>
        <w:spacing w:before="0" w:beforeAutospacing="0"/>
        <w:ind w:left="448" w:hanging="448"/>
        <w:rPr>
          <w:color w:val="000000"/>
        </w:rPr>
      </w:pPr>
      <w:r w:rsidRPr="00B3140B">
        <w:rPr>
          <w:color w:val="000000"/>
        </w:rPr>
        <w:t xml:space="preserve">Eling M and Pankoke D, </w:t>
      </w:r>
      <w:r w:rsidR="00B77992">
        <w:rPr>
          <w:color w:val="000000"/>
        </w:rPr>
        <w:t>‘</w:t>
      </w:r>
      <w:r w:rsidRPr="00B3140B">
        <w:rPr>
          <w:color w:val="000000"/>
        </w:rPr>
        <w:t>Discontinued business in non-life insurance: an empirical test of the market development in the German-speaking countries</w:t>
      </w:r>
      <w:r w:rsidR="00B77992">
        <w:rPr>
          <w:color w:val="000000"/>
        </w:rPr>
        <w:t>’</w:t>
      </w:r>
      <w:r w:rsidRPr="00B3140B">
        <w:rPr>
          <w:color w:val="000000"/>
        </w:rPr>
        <w:t xml:space="preserve"> (2014) 4(1</w:t>
      </w:r>
      <w:r w:rsidR="00B77992">
        <w:rPr>
          <w:color w:val="000000"/>
        </w:rPr>
        <w:t>) European Actuarial Journal 31</w:t>
      </w:r>
    </w:p>
    <w:p w:rsidR="00B3140B" w:rsidRPr="00B3140B" w:rsidRDefault="00B3140B" w:rsidP="00B3140B">
      <w:pPr>
        <w:pStyle w:val="StandardWeb"/>
        <w:spacing w:before="0" w:beforeAutospacing="0"/>
        <w:ind w:left="448" w:hanging="448"/>
        <w:rPr>
          <w:color w:val="000000"/>
        </w:rPr>
      </w:pPr>
      <w:r w:rsidRPr="00B3140B">
        <w:rPr>
          <w:color w:val="000000"/>
        </w:rPr>
        <w:t>Eling</w:t>
      </w:r>
      <w:r w:rsidR="00EE1AF6">
        <w:rPr>
          <w:color w:val="000000"/>
        </w:rPr>
        <w:t xml:space="preserve"> M, Schmeiser H and Schmit JT, ‘</w:t>
      </w:r>
      <w:r w:rsidRPr="00B3140B">
        <w:rPr>
          <w:color w:val="000000"/>
        </w:rPr>
        <w:t>The Solvency II Process:</w:t>
      </w:r>
      <w:r w:rsidR="00EE1AF6">
        <w:rPr>
          <w:color w:val="000000"/>
        </w:rPr>
        <w:t xml:space="preserve"> Overview and Critical Analysis’</w:t>
      </w:r>
      <w:r w:rsidRPr="00B3140B">
        <w:rPr>
          <w:color w:val="000000"/>
        </w:rPr>
        <w:t xml:space="preserve"> (2007) 10(1) Risk M</w:t>
      </w:r>
      <w:r w:rsidR="00EE1AF6">
        <w:rPr>
          <w:color w:val="000000"/>
        </w:rPr>
        <w:t>anagement &amp; Insurance Review 69</w:t>
      </w:r>
    </w:p>
    <w:p w:rsidR="00EE1AF6" w:rsidRDefault="00B3140B" w:rsidP="00B3140B">
      <w:pPr>
        <w:pStyle w:val="StandardWeb"/>
        <w:spacing w:before="0" w:beforeAutospacing="0"/>
        <w:ind w:left="448" w:hanging="448"/>
        <w:rPr>
          <w:color w:val="000000"/>
        </w:rPr>
      </w:pPr>
      <w:r w:rsidRPr="00B3140B">
        <w:rPr>
          <w:color w:val="000000"/>
        </w:rPr>
        <w:t>K. Endres and V. de Galhau, Solvency II and the capital charge for run-offs (</w:t>
      </w:r>
      <w:r w:rsidR="00EE1AF6">
        <w:rPr>
          <w:color w:val="000000"/>
        </w:rPr>
        <w:t>2010</w:t>
      </w:r>
      <w:r w:rsidRPr="00B3140B">
        <w:rPr>
          <w:color w:val="000000"/>
        </w:rPr>
        <w:t xml:space="preserve">) </w:t>
      </w:r>
    </w:p>
    <w:p w:rsidR="00B3140B" w:rsidRPr="00B3140B" w:rsidRDefault="00B3140B" w:rsidP="00B3140B">
      <w:pPr>
        <w:pStyle w:val="StandardWeb"/>
        <w:spacing w:before="0" w:beforeAutospacing="0"/>
        <w:ind w:left="448" w:hanging="448"/>
        <w:rPr>
          <w:color w:val="000000"/>
        </w:rPr>
      </w:pPr>
      <w:r w:rsidRPr="00B3140B">
        <w:rPr>
          <w:color w:val="000000"/>
        </w:rPr>
        <w:lastRenderedPageBreak/>
        <w:t>First Council Directive 73/239/EEC of 24 July 1973 on the coordination of laws, regulations and administrative provisions relating to the taking-up and pursuit of the business of direct insurance other than life assurance, [1973] OJ L 228/3</w:t>
      </w:r>
    </w:p>
    <w:p w:rsidR="00B3140B" w:rsidRPr="00B3140B" w:rsidRDefault="00B3140B" w:rsidP="00B3140B">
      <w:pPr>
        <w:pStyle w:val="StandardWeb"/>
        <w:spacing w:before="0" w:beforeAutospacing="0"/>
        <w:ind w:left="448" w:hanging="448"/>
        <w:rPr>
          <w:color w:val="000000"/>
        </w:rPr>
      </w:pPr>
      <w:r w:rsidRPr="00B3140B">
        <w:rPr>
          <w:color w:val="000000"/>
        </w:rPr>
        <w:t>First Council Directive 79/267/EEC of 5 March 1979 on the coordination of laws, regulations and administrative provisions relating to the taking up and pursuit of the business of direct life assurance, [1979] OJ L 63/1</w:t>
      </w:r>
    </w:p>
    <w:p w:rsidR="00B3140B" w:rsidRPr="00B3140B" w:rsidRDefault="00B3140B" w:rsidP="00B3140B">
      <w:pPr>
        <w:pStyle w:val="StandardWeb"/>
        <w:spacing w:before="0" w:beforeAutospacing="0"/>
        <w:ind w:left="448" w:hanging="448"/>
        <w:rPr>
          <w:color w:val="000000"/>
        </w:rPr>
      </w:pPr>
      <w:r w:rsidRPr="00B3140B">
        <w:rPr>
          <w:color w:val="000000"/>
        </w:rPr>
        <w:t xml:space="preserve">Floreani A, </w:t>
      </w:r>
      <w:r w:rsidR="00EE1AF6">
        <w:rPr>
          <w:color w:val="000000"/>
        </w:rPr>
        <w:t>‘</w:t>
      </w:r>
      <w:r w:rsidRPr="00B3140B">
        <w:rPr>
          <w:color w:val="000000"/>
        </w:rPr>
        <w:t>Risk Measures and Capital Requirements: A Critique of the Solvency II Approach</w:t>
      </w:r>
      <w:r w:rsidR="00EE1AF6">
        <w:rPr>
          <w:color w:val="000000"/>
        </w:rPr>
        <w:t>’</w:t>
      </w:r>
      <w:r w:rsidRPr="00B3140B">
        <w:rPr>
          <w:color w:val="000000"/>
        </w:rPr>
        <w:t xml:space="preserve"> (2013) 38(2) Geneva Papers on Risk &amp; In</w:t>
      </w:r>
      <w:r w:rsidR="00EE1AF6">
        <w:rPr>
          <w:color w:val="000000"/>
        </w:rPr>
        <w:t>surance - Issues &amp; Practice 189</w:t>
      </w:r>
    </w:p>
    <w:p w:rsidR="00B3140B" w:rsidRPr="00B3140B" w:rsidRDefault="00B3140B" w:rsidP="00B3140B">
      <w:pPr>
        <w:pStyle w:val="StandardWeb"/>
        <w:spacing w:before="0" w:beforeAutospacing="0"/>
        <w:ind w:left="448" w:hanging="448"/>
        <w:rPr>
          <w:color w:val="000000"/>
        </w:rPr>
      </w:pPr>
      <w:r w:rsidRPr="00B3140B">
        <w:rPr>
          <w:color w:val="000000"/>
        </w:rPr>
        <w:t>Eugene N. Gurenko and Alexander Itigin, </w:t>
      </w:r>
      <w:r w:rsidRPr="00B3140B">
        <w:rPr>
          <w:i/>
          <w:iCs/>
          <w:color w:val="000000"/>
        </w:rPr>
        <w:t>Reinsurance as capital optimization tool under Solvency II </w:t>
      </w:r>
      <w:r w:rsidRPr="00B3140B">
        <w:rPr>
          <w:color w:val="000000"/>
        </w:rPr>
        <w:t>(World Bank 2013-01, Policy Research Working Paper WPS6306, 2013)</w:t>
      </w:r>
    </w:p>
    <w:p w:rsidR="00B3140B" w:rsidRPr="00B3140B" w:rsidRDefault="00B3140B" w:rsidP="00B3140B">
      <w:pPr>
        <w:pStyle w:val="StandardWeb"/>
        <w:spacing w:before="0" w:beforeAutospacing="0"/>
        <w:ind w:left="448" w:hanging="448"/>
        <w:rPr>
          <w:color w:val="000000"/>
        </w:rPr>
      </w:pPr>
      <w:r w:rsidRPr="00B3140B">
        <w:rPr>
          <w:color w:val="000000"/>
        </w:rPr>
        <w:t>Andrew Haldane, </w:t>
      </w:r>
      <w:r w:rsidR="00EE1AF6">
        <w:rPr>
          <w:i/>
          <w:iCs/>
          <w:color w:val="000000"/>
        </w:rPr>
        <w:t>‘</w:t>
      </w:r>
      <w:r w:rsidRPr="00B3140B">
        <w:rPr>
          <w:i/>
          <w:iCs/>
          <w:color w:val="000000"/>
        </w:rPr>
        <w:t>The dog and the frisbee</w:t>
      </w:r>
      <w:r w:rsidR="00EE1AF6">
        <w:rPr>
          <w:i/>
          <w:iCs/>
          <w:color w:val="000000"/>
        </w:rPr>
        <w:t>’</w:t>
      </w:r>
      <w:r w:rsidRPr="00B3140B">
        <w:rPr>
          <w:i/>
          <w:iCs/>
          <w:color w:val="000000"/>
        </w:rPr>
        <w:t> Speech by Mr Andrew G Haldane, Executive Director, Financial Stability, Bank of England, and Mr Vasileios Madouros, Economist, Bank of England, at the Federal Reserve Bank of Kansas City’s 366th economic policy symposium, “The changing policy landscape”, Jackson Hole, Wyoming, 31 August 2012</w:t>
      </w:r>
    </w:p>
    <w:p w:rsidR="00B3140B" w:rsidRPr="00B3140B" w:rsidRDefault="00B3140B" w:rsidP="00B3140B">
      <w:pPr>
        <w:pStyle w:val="StandardWeb"/>
        <w:spacing w:before="0" w:beforeAutospacing="0"/>
        <w:ind w:left="448" w:hanging="448"/>
        <w:rPr>
          <w:color w:val="000000"/>
        </w:rPr>
      </w:pPr>
      <w:r w:rsidRPr="00B3140B">
        <w:rPr>
          <w:color w:val="000000"/>
        </w:rPr>
        <w:t>Hartington A, Piper J and Townsend S, 'Managing a business in run-off' (1995) General Insurance Conv</w:t>
      </w:r>
      <w:r w:rsidR="00AE500E">
        <w:rPr>
          <w:color w:val="000000"/>
        </w:rPr>
        <w:t>ention</w:t>
      </w:r>
    </w:p>
    <w:p w:rsidR="00AE500E" w:rsidRDefault="00B3140B" w:rsidP="00B3140B">
      <w:pPr>
        <w:pStyle w:val="StandardWeb"/>
        <w:spacing w:before="0" w:beforeAutospacing="0"/>
        <w:ind w:left="448" w:hanging="448"/>
        <w:rPr>
          <w:color w:val="000000"/>
        </w:rPr>
      </w:pPr>
      <w:r w:rsidRPr="00B3140B">
        <w:rPr>
          <w:color w:val="000000"/>
        </w:rPr>
        <w:t xml:space="preserve">Ho LC, 'Solvent Schemes for Insurers - A Touch of Class and Jurisdiction' (2006) 3(1) International Corporate Rescue 14 November 2014 </w:t>
      </w:r>
    </w:p>
    <w:p w:rsidR="00B3140B" w:rsidRPr="00B3140B" w:rsidRDefault="00B3140B" w:rsidP="00B3140B">
      <w:pPr>
        <w:pStyle w:val="StandardWeb"/>
        <w:spacing w:before="0" w:beforeAutospacing="0"/>
        <w:ind w:left="448" w:hanging="448"/>
        <w:rPr>
          <w:color w:val="000000"/>
        </w:rPr>
      </w:pPr>
      <w:r w:rsidRPr="00B3140B">
        <w:rPr>
          <w:color w:val="000000"/>
        </w:rPr>
        <w:t>Insurance Europe, </w:t>
      </w:r>
      <w:r w:rsidRPr="00B3140B">
        <w:rPr>
          <w:i/>
          <w:iCs/>
          <w:color w:val="000000"/>
        </w:rPr>
        <w:t>European Insurance — Key Facts </w:t>
      </w:r>
      <w:r w:rsidRPr="00AE500E">
        <w:rPr>
          <w:iCs/>
          <w:color w:val="000000"/>
        </w:rPr>
        <w:t>(August 2014</w:t>
      </w:r>
      <w:r w:rsidR="00AE500E" w:rsidRPr="00AE500E">
        <w:rPr>
          <w:iCs/>
          <w:color w:val="000000"/>
        </w:rPr>
        <w:t>)</w:t>
      </w:r>
    </w:p>
    <w:p w:rsidR="00B3140B" w:rsidRPr="00B3140B" w:rsidRDefault="00B3140B" w:rsidP="00B3140B">
      <w:pPr>
        <w:pStyle w:val="StandardWeb"/>
        <w:spacing w:before="0" w:beforeAutospacing="0"/>
        <w:ind w:left="448" w:hanging="448"/>
        <w:rPr>
          <w:color w:val="000000"/>
        </w:rPr>
      </w:pPr>
      <w:r w:rsidRPr="00B3140B">
        <w:rPr>
          <w:color w:val="000000"/>
        </w:rPr>
        <w:t>KPMG, </w:t>
      </w:r>
      <w:r w:rsidRPr="00B3140B">
        <w:rPr>
          <w:i/>
          <w:iCs/>
          <w:color w:val="000000"/>
        </w:rPr>
        <w:t>Run-off survey 2010: Run-off in property/casualty insurance and reinsurance in Germany, Switzerland and Austria </w:t>
      </w:r>
      <w:r w:rsidR="00AE500E">
        <w:rPr>
          <w:color w:val="000000"/>
        </w:rPr>
        <w:t>(</w:t>
      </w:r>
      <w:r w:rsidRPr="00B3140B">
        <w:rPr>
          <w:color w:val="000000"/>
        </w:rPr>
        <w:t>2010)</w:t>
      </w:r>
    </w:p>
    <w:p w:rsidR="00B3140B" w:rsidRPr="00B3140B" w:rsidRDefault="00AE500E" w:rsidP="00B3140B">
      <w:pPr>
        <w:pStyle w:val="StandardWeb"/>
        <w:spacing w:before="0" w:beforeAutospacing="0"/>
        <w:ind w:left="448" w:hanging="448"/>
        <w:rPr>
          <w:color w:val="000000"/>
        </w:rPr>
      </w:pPr>
      <w:r w:rsidRPr="00B3140B">
        <w:rPr>
          <w:color w:val="000000"/>
        </w:rPr>
        <w:t>KPMG</w:t>
      </w:r>
      <w:r w:rsidR="00B3140B" w:rsidRPr="00B3140B">
        <w:rPr>
          <w:color w:val="000000"/>
        </w:rPr>
        <w:t>, </w:t>
      </w:r>
      <w:r w:rsidR="00B3140B" w:rsidRPr="00B3140B">
        <w:rPr>
          <w:i/>
          <w:iCs/>
          <w:color w:val="000000"/>
        </w:rPr>
        <w:t>The KPMG UK Run-off survey: Non-life insurance </w:t>
      </w:r>
      <w:r>
        <w:rPr>
          <w:color w:val="000000"/>
        </w:rPr>
        <w:t>(</w:t>
      </w:r>
      <w:r w:rsidR="00B3140B" w:rsidRPr="00B3140B">
        <w:rPr>
          <w:color w:val="000000"/>
        </w:rPr>
        <w:t>2012)</w:t>
      </w:r>
    </w:p>
    <w:p w:rsidR="00B3140B" w:rsidRPr="00B3140B" w:rsidRDefault="00B3140B" w:rsidP="00B3140B">
      <w:pPr>
        <w:pStyle w:val="StandardWeb"/>
        <w:spacing w:before="0" w:beforeAutospacing="0"/>
        <w:ind w:left="448" w:hanging="448"/>
        <w:rPr>
          <w:color w:val="000000"/>
        </w:rPr>
      </w:pPr>
      <w:r w:rsidRPr="00B3140B">
        <w:rPr>
          <w:color w:val="000000"/>
        </w:rPr>
        <w:t>Kwon WJ, Kim H and Soon-Jae Lee, 'Can Insurance Firms Easily Exit from the Market? A Global Comparative Analysis of Regulatory Structures' (2005) 30(2) Geneva Papers on Risk &amp; In</w:t>
      </w:r>
      <w:r w:rsidR="00AE500E">
        <w:rPr>
          <w:color w:val="000000"/>
        </w:rPr>
        <w:t>surance - Issues &amp; Practice 268</w:t>
      </w:r>
    </w:p>
    <w:p w:rsidR="00B3140B" w:rsidRPr="00B3140B" w:rsidRDefault="00AE500E" w:rsidP="00B3140B">
      <w:pPr>
        <w:pStyle w:val="StandardWeb"/>
        <w:spacing w:before="0" w:beforeAutospacing="0"/>
        <w:ind w:left="448" w:hanging="448"/>
        <w:rPr>
          <w:color w:val="000000"/>
        </w:rPr>
      </w:pPr>
      <w:r>
        <w:rPr>
          <w:color w:val="000000"/>
        </w:rPr>
        <w:t>Labes H, ‘A Trigger for Consolidation’</w:t>
      </w:r>
      <w:r w:rsidR="00B3140B" w:rsidRPr="00B3140B">
        <w:rPr>
          <w:color w:val="000000"/>
        </w:rPr>
        <w:t xml:space="preserve"> (2011)</w:t>
      </w:r>
      <w:r>
        <w:rPr>
          <w:color w:val="000000"/>
        </w:rPr>
        <w:t>(36) Run Off &amp; Restructuring 16</w:t>
      </w:r>
    </w:p>
    <w:p w:rsidR="00B3140B" w:rsidRPr="00B3140B" w:rsidRDefault="00DC60F1" w:rsidP="00B3140B">
      <w:pPr>
        <w:pStyle w:val="StandardWeb"/>
        <w:spacing w:before="0" w:beforeAutospacing="0"/>
        <w:ind w:left="448" w:hanging="448"/>
        <w:rPr>
          <w:color w:val="000000"/>
          <w:lang w:val="sv-FI"/>
        </w:rPr>
      </w:pPr>
      <w:r>
        <w:rPr>
          <w:color w:val="000000"/>
          <w:lang w:val="sv-FI"/>
        </w:rPr>
        <w:t>Mäntysaari P, ’</w:t>
      </w:r>
      <w:r w:rsidR="00B3140B" w:rsidRPr="00B3140B">
        <w:rPr>
          <w:color w:val="000000"/>
          <w:lang w:val="sv-FI"/>
        </w:rPr>
        <w:t>Erkännande av ett f</w:t>
      </w:r>
      <w:r>
        <w:rPr>
          <w:color w:val="000000"/>
          <w:lang w:val="sv-FI"/>
        </w:rPr>
        <w:t>örsäkringsbolags solvent scheme’</w:t>
      </w:r>
      <w:r w:rsidR="00B3140B" w:rsidRPr="00B3140B">
        <w:rPr>
          <w:color w:val="000000"/>
          <w:lang w:val="sv-FI"/>
        </w:rPr>
        <w:t xml:space="preserve"> (2013) 20</w:t>
      </w:r>
      <w:r>
        <w:rPr>
          <w:color w:val="000000"/>
          <w:lang w:val="sv-FI"/>
        </w:rPr>
        <w:t>12/13(3) Juridisk Tidskrift 582</w:t>
      </w:r>
    </w:p>
    <w:p w:rsidR="00B3140B" w:rsidRPr="00B3140B" w:rsidRDefault="003A391C" w:rsidP="00B3140B">
      <w:pPr>
        <w:pStyle w:val="StandardWeb"/>
        <w:spacing w:before="0" w:beforeAutospacing="0"/>
        <w:ind w:left="448" w:hanging="448"/>
        <w:rPr>
          <w:color w:val="000000"/>
        </w:rPr>
      </w:pPr>
      <w:r>
        <w:rPr>
          <w:color w:val="000000"/>
        </w:rPr>
        <w:t>McArthur J, ‘</w:t>
      </w:r>
      <w:r w:rsidR="00B3140B" w:rsidRPr="00B3140B">
        <w:rPr>
          <w:color w:val="000000"/>
        </w:rPr>
        <w:t>Maximising Run-Off Strategies</w:t>
      </w:r>
      <w:r>
        <w:rPr>
          <w:color w:val="000000"/>
        </w:rPr>
        <w:t>’</w:t>
      </w:r>
      <w:r w:rsidR="00B3140B" w:rsidRPr="00B3140B">
        <w:rPr>
          <w:color w:val="000000"/>
        </w:rPr>
        <w:t xml:space="preserve"> (Spring 2006) Insider</w:t>
      </w:r>
      <w:r>
        <w:rPr>
          <w:color w:val="000000"/>
        </w:rPr>
        <w:t xml:space="preserve"> Quarterly</w:t>
      </w:r>
    </w:p>
    <w:p w:rsidR="00B3140B" w:rsidRPr="00B3140B" w:rsidRDefault="003A391C" w:rsidP="00B3140B">
      <w:pPr>
        <w:pStyle w:val="StandardWeb"/>
        <w:spacing w:before="0" w:beforeAutospacing="0"/>
        <w:ind w:left="448" w:hanging="448"/>
        <w:rPr>
          <w:color w:val="000000"/>
        </w:rPr>
      </w:pPr>
      <w:r>
        <w:rPr>
          <w:color w:val="000000"/>
        </w:rPr>
        <w:t>Paetzmann K, ‘</w:t>
      </w:r>
      <w:r w:rsidR="00B3140B" w:rsidRPr="00B3140B">
        <w:rPr>
          <w:color w:val="000000"/>
        </w:rPr>
        <w:t>Discontinued German life insurance portfolios: rules-in-use, interest rate risk, and Solvency II</w:t>
      </w:r>
      <w:r>
        <w:rPr>
          <w:color w:val="000000"/>
        </w:rPr>
        <w:t>’</w:t>
      </w:r>
      <w:r w:rsidR="00B3140B" w:rsidRPr="00B3140B">
        <w:rPr>
          <w:color w:val="000000"/>
        </w:rPr>
        <w:t xml:space="preserve"> (2011) 19(2) Journal of Financ</w:t>
      </w:r>
      <w:r>
        <w:rPr>
          <w:color w:val="000000"/>
        </w:rPr>
        <w:t>ial Regulation &amp; Compliance 117</w:t>
      </w:r>
    </w:p>
    <w:p w:rsidR="00B3140B" w:rsidRPr="00B3140B" w:rsidRDefault="00B3140B" w:rsidP="00B3140B">
      <w:pPr>
        <w:pStyle w:val="StandardWeb"/>
        <w:spacing w:before="0" w:beforeAutospacing="0"/>
        <w:ind w:left="448" w:hanging="448"/>
        <w:rPr>
          <w:color w:val="000000"/>
        </w:rPr>
      </w:pPr>
      <w:r w:rsidRPr="00B3140B">
        <w:rPr>
          <w:color w:val="000000"/>
        </w:rPr>
        <w:lastRenderedPageBreak/>
        <w:t>Prudential Regulation Authority, </w:t>
      </w:r>
      <w:r w:rsidRPr="00B3140B">
        <w:rPr>
          <w:i/>
          <w:iCs/>
          <w:color w:val="000000"/>
        </w:rPr>
        <w:t>Transposition of Solvency II: Part 3 </w:t>
      </w:r>
      <w:r w:rsidRPr="00B3140B">
        <w:rPr>
          <w:color w:val="000000"/>
        </w:rPr>
        <w:t>(PRA Consultation Paper CP16/14, 2014)</w:t>
      </w:r>
    </w:p>
    <w:p w:rsidR="00B3140B" w:rsidRPr="00B3140B" w:rsidRDefault="00B3140B" w:rsidP="00B3140B">
      <w:pPr>
        <w:pStyle w:val="StandardWeb"/>
        <w:spacing w:before="0" w:beforeAutospacing="0"/>
        <w:ind w:left="448" w:hanging="448"/>
        <w:rPr>
          <w:color w:val="000000"/>
        </w:rPr>
      </w:pPr>
      <w:r w:rsidRPr="00B3140B">
        <w:rPr>
          <w:color w:val="000000"/>
        </w:rPr>
        <w:t>PWC, </w:t>
      </w:r>
      <w:r w:rsidRPr="00B3140B">
        <w:rPr>
          <w:i/>
          <w:iCs/>
          <w:color w:val="000000"/>
        </w:rPr>
        <w:t>Unlocking Value in Run-Off: A Survey of Discontinued Insurance Business in Europe (8th edition) </w:t>
      </w:r>
      <w:r w:rsidRPr="00B3140B">
        <w:rPr>
          <w:color w:val="000000"/>
        </w:rPr>
        <w:t>(PWC 2014-09, Survey, 2014)</w:t>
      </w:r>
    </w:p>
    <w:p w:rsidR="00B3140B" w:rsidRPr="00B3140B" w:rsidRDefault="00B3140B" w:rsidP="00B3140B">
      <w:pPr>
        <w:pStyle w:val="StandardWeb"/>
        <w:spacing w:before="0" w:beforeAutospacing="0"/>
        <w:ind w:left="448" w:hanging="448"/>
        <w:rPr>
          <w:color w:val="000000"/>
        </w:rPr>
      </w:pPr>
      <w:r w:rsidRPr="00B3140B">
        <w:rPr>
          <w:color w:val="000000"/>
        </w:rPr>
        <w:t xml:space="preserve">Quane A </w:t>
      </w:r>
      <w:r w:rsidR="008F0F30">
        <w:rPr>
          <w:color w:val="000000"/>
        </w:rPr>
        <w:t>et al</w:t>
      </w:r>
      <w:r w:rsidRPr="00B3140B">
        <w:rPr>
          <w:color w:val="000000"/>
        </w:rPr>
        <w:t xml:space="preserve">, </w:t>
      </w:r>
      <w:r w:rsidR="003A391C">
        <w:rPr>
          <w:color w:val="000000"/>
        </w:rPr>
        <w:t>‘</w:t>
      </w:r>
      <w:r w:rsidRPr="00B3140B">
        <w:rPr>
          <w:color w:val="000000"/>
        </w:rPr>
        <w:t>Loss Portfolio Transfers. 2002 GIRO Working Paper</w:t>
      </w:r>
      <w:r w:rsidR="003A391C">
        <w:rPr>
          <w:color w:val="000000"/>
        </w:rPr>
        <w:t>’</w:t>
      </w:r>
      <w:r w:rsidRPr="00B3140B">
        <w:rPr>
          <w:color w:val="000000"/>
        </w:rPr>
        <w:t xml:space="preserve"> (2002) Gen</w:t>
      </w:r>
      <w:r w:rsidR="003A391C">
        <w:rPr>
          <w:color w:val="000000"/>
        </w:rPr>
        <w:t>eral Insurance Convention</w:t>
      </w:r>
    </w:p>
    <w:p w:rsidR="008F0F30" w:rsidRDefault="00B3140B" w:rsidP="00B3140B">
      <w:pPr>
        <w:pStyle w:val="StandardWeb"/>
        <w:spacing w:before="0" w:beforeAutospacing="0"/>
        <w:ind w:left="448" w:hanging="448"/>
        <w:rPr>
          <w:color w:val="000000"/>
        </w:rPr>
      </w:pPr>
      <w:r w:rsidRPr="00B3140B">
        <w:rPr>
          <w:color w:val="000000"/>
        </w:rPr>
        <w:t xml:space="preserve">Ruxley Ventures, </w:t>
      </w:r>
      <w:r w:rsidR="008F0F30">
        <w:rPr>
          <w:color w:val="000000"/>
        </w:rPr>
        <w:t>‘</w:t>
      </w:r>
      <w:r w:rsidRPr="00B3140B">
        <w:rPr>
          <w:color w:val="000000"/>
        </w:rPr>
        <w:t>Solvency II - Exemption for Run-off Companies - Is It Enough?</w:t>
      </w:r>
      <w:r w:rsidR="008F0F30">
        <w:rPr>
          <w:color w:val="000000"/>
        </w:rPr>
        <w:t>’</w:t>
      </w:r>
      <w:r w:rsidRPr="00B3140B">
        <w:rPr>
          <w:color w:val="000000"/>
        </w:rPr>
        <w:t xml:space="preserve"> (2012)(2) Ruxley Research 10 December 2014 </w:t>
      </w:r>
    </w:p>
    <w:p w:rsidR="00B3140B" w:rsidRPr="00B3140B" w:rsidRDefault="00B3140B" w:rsidP="00B3140B">
      <w:pPr>
        <w:pStyle w:val="StandardWeb"/>
        <w:spacing w:before="0" w:beforeAutospacing="0"/>
        <w:ind w:left="448" w:hanging="448"/>
        <w:rPr>
          <w:color w:val="000000"/>
        </w:rPr>
      </w:pPr>
      <w:r w:rsidRPr="00B3140B">
        <w:rPr>
          <w:color w:val="000000"/>
        </w:rPr>
        <w:t>Kay Schaumlöffel, </w:t>
      </w:r>
      <w:r w:rsidRPr="00B3140B">
        <w:rPr>
          <w:i/>
          <w:iCs/>
          <w:color w:val="000000"/>
        </w:rPr>
        <w:t>Run-Off: Supervision of insurance undertakings with portfolios in run-off </w:t>
      </w:r>
      <w:r w:rsidRPr="00B3140B">
        <w:rPr>
          <w:color w:val="000000"/>
        </w:rPr>
        <w:t>(Bundesanstalt für Finanz</w:t>
      </w:r>
      <w:r w:rsidR="008F0F30">
        <w:rPr>
          <w:color w:val="000000"/>
        </w:rPr>
        <w:t>dienstleistungsaufsicht (BaFin)</w:t>
      </w:r>
      <w:r w:rsidRPr="00B3140B">
        <w:rPr>
          <w:color w:val="000000"/>
        </w:rPr>
        <w:t>, 2014)</w:t>
      </w:r>
    </w:p>
    <w:p w:rsidR="008F0F30" w:rsidRDefault="00B3140B" w:rsidP="00B3140B">
      <w:pPr>
        <w:pStyle w:val="StandardWeb"/>
        <w:spacing w:before="0" w:beforeAutospacing="0"/>
        <w:ind w:left="448" w:hanging="448"/>
        <w:rPr>
          <w:color w:val="000000"/>
        </w:rPr>
      </w:pPr>
      <w:r w:rsidRPr="00B3140B">
        <w:rPr>
          <w:color w:val="000000"/>
        </w:rPr>
        <w:t xml:space="preserve">Schiffer L, </w:t>
      </w:r>
      <w:r w:rsidR="008F0F30">
        <w:rPr>
          <w:color w:val="000000"/>
        </w:rPr>
        <w:t>‘</w:t>
      </w:r>
      <w:r w:rsidRPr="00B3140B">
        <w:rPr>
          <w:color w:val="000000"/>
        </w:rPr>
        <w:t>My Reinsurer Is in Runoff. What Do I Do Now?</w:t>
      </w:r>
      <w:r w:rsidR="008F0F30">
        <w:rPr>
          <w:color w:val="000000"/>
        </w:rPr>
        <w:t>’</w:t>
      </w:r>
      <w:r w:rsidRPr="00B3140B">
        <w:rPr>
          <w:color w:val="000000"/>
        </w:rPr>
        <w:t xml:space="preserve"> (2010) IRMI Online 10 December 2014 </w:t>
      </w:r>
    </w:p>
    <w:p w:rsidR="00B3140B" w:rsidRPr="00B3140B" w:rsidRDefault="008F0F30" w:rsidP="00B3140B">
      <w:pPr>
        <w:pStyle w:val="StandardWeb"/>
        <w:spacing w:before="0" w:beforeAutospacing="0"/>
        <w:ind w:left="448" w:hanging="448"/>
        <w:rPr>
          <w:color w:val="000000"/>
        </w:rPr>
      </w:pPr>
      <w:r>
        <w:rPr>
          <w:color w:val="000000"/>
        </w:rPr>
        <w:t>Singer P, ‘</w:t>
      </w:r>
      <w:r w:rsidR="00B3140B" w:rsidRPr="00B3140B">
        <w:rPr>
          <w:color w:val="000000"/>
        </w:rPr>
        <w:t xml:space="preserve">Solvency II </w:t>
      </w:r>
      <w:r>
        <w:rPr>
          <w:color w:val="000000"/>
        </w:rPr>
        <w:t>and Run-Off’</w:t>
      </w:r>
      <w:r w:rsidR="00B3140B" w:rsidRPr="00B3140B">
        <w:rPr>
          <w:color w:val="000000"/>
        </w:rPr>
        <w:t xml:space="preserve"> (C</w:t>
      </w:r>
      <w:r>
        <w:rPr>
          <w:color w:val="000000"/>
        </w:rPr>
        <w:t>asualty Actuarial Society 2008)</w:t>
      </w:r>
    </w:p>
    <w:p w:rsidR="00B3140B" w:rsidRPr="00B3140B" w:rsidRDefault="008F0F30" w:rsidP="00B3140B">
      <w:pPr>
        <w:pStyle w:val="StandardWeb"/>
        <w:spacing w:before="0" w:beforeAutospacing="0"/>
        <w:ind w:left="448" w:hanging="448"/>
        <w:rPr>
          <w:color w:val="000000"/>
        </w:rPr>
      </w:pPr>
      <w:r>
        <w:rPr>
          <w:color w:val="000000"/>
        </w:rPr>
        <w:t>‘</w:t>
      </w:r>
      <w:r w:rsidR="00B3140B" w:rsidRPr="00B3140B">
        <w:rPr>
          <w:color w:val="000000"/>
        </w:rPr>
        <w:t>Solvency II uncertainty. A reality.</w:t>
      </w:r>
      <w:r>
        <w:rPr>
          <w:color w:val="000000"/>
        </w:rPr>
        <w:t>’</w:t>
      </w:r>
      <w:r w:rsidR="00B3140B" w:rsidRPr="00B3140B">
        <w:rPr>
          <w:color w:val="000000"/>
        </w:rPr>
        <w:t> </w:t>
      </w:r>
      <w:r w:rsidR="00B3140B" w:rsidRPr="00B3140B">
        <w:rPr>
          <w:i/>
          <w:iCs/>
          <w:color w:val="000000"/>
        </w:rPr>
        <w:t>Solvency II Wire </w:t>
      </w:r>
      <w:r>
        <w:rPr>
          <w:color w:val="000000"/>
        </w:rPr>
        <w:t>(13 October 2014)</w:t>
      </w:r>
    </w:p>
    <w:p w:rsidR="00B3140B" w:rsidRPr="00B3140B" w:rsidRDefault="00B3140B" w:rsidP="00B3140B">
      <w:pPr>
        <w:pStyle w:val="StandardWeb"/>
        <w:spacing w:before="0" w:beforeAutospacing="0"/>
        <w:ind w:left="448" w:hanging="448"/>
        <w:rPr>
          <w:color w:val="000000"/>
        </w:rPr>
      </w:pPr>
      <w:r w:rsidRPr="00B3140B">
        <w:rPr>
          <w:color w:val="000000"/>
        </w:rPr>
        <w:t>Solvency II Wire, </w:t>
      </w:r>
      <w:r w:rsidRPr="00B3140B">
        <w:rPr>
          <w:i/>
          <w:iCs/>
          <w:color w:val="000000"/>
        </w:rPr>
        <w:t>Regular Meeting Group report </w:t>
      </w:r>
      <w:r w:rsidR="008F0F30">
        <w:rPr>
          <w:color w:val="000000"/>
        </w:rPr>
        <w:t>(14 October 2014</w:t>
      </w:r>
      <w:r w:rsidRPr="00B3140B">
        <w:rPr>
          <w:color w:val="000000"/>
        </w:rPr>
        <w:t>)</w:t>
      </w:r>
    </w:p>
    <w:p w:rsidR="00B3140B" w:rsidRPr="00B3140B" w:rsidRDefault="00B3140B" w:rsidP="00B3140B">
      <w:pPr>
        <w:pStyle w:val="StandardWeb"/>
        <w:spacing w:before="0" w:beforeAutospacing="0"/>
        <w:ind w:left="448" w:hanging="448"/>
        <w:rPr>
          <w:color w:val="000000"/>
        </w:rPr>
      </w:pPr>
      <w:r w:rsidRPr="00B3140B">
        <w:rPr>
          <w:color w:val="000000"/>
        </w:rPr>
        <w:t>Swiss Re, </w:t>
      </w:r>
      <w:r w:rsidRPr="00B3140B">
        <w:rPr>
          <w:i/>
          <w:iCs/>
          <w:color w:val="000000"/>
        </w:rPr>
        <w:t>What do you know about Solvency II? High-level introduction for interes</w:t>
      </w:r>
      <w:r w:rsidR="008F0F30">
        <w:rPr>
          <w:i/>
          <w:iCs/>
          <w:color w:val="000000"/>
        </w:rPr>
        <w:t xml:space="preserve">ted parties from Non-EU regions </w:t>
      </w:r>
      <w:r w:rsidR="008F0F30">
        <w:rPr>
          <w:color w:val="000000"/>
        </w:rPr>
        <w:t>(</w:t>
      </w:r>
      <w:r w:rsidRPr="00B3140B">
        <w:rPr>
          <w:color w:val="000000"/>
        </w:rPr>
        <w:t>2013)</w:t>
      </w:r>
    </w:p>
    <w:p w:rsidR="00B3140B" w:rsidRPr="00B3140B" w:rsidRDefault="00496661" w:rsidP="00B3140B">
      <w:pPr>
        <w:pStyle w:val="StandardWeb"/>
        <w:spacing w:before="0" w:beforeAutospacing="0"/>
        <w:ind w:left="448" w:hanging="448"/>
        <w:rPr>
          <w:color w:val="000000"/>
        </w:rPr>
      </w:pPr>
      <w:r>
        <w:rPr>
          <w:color w:val="000000"/>
        </w:rPr>
        <w:t>Vaughan TM, ‘</w:t>
      </w:r>
      <w:r w:rsidR="00B3140B" w:rsidRPr="00B3140B">
        <w:rPr>
          <w:color w:val="000000"/>
        </w:rPr>
        <w:t xml:space="preserve">The implications of </w:t>
      </w:r>
      <w:r>
        <w:rPr>
          <w:color w:val="000000"/>
        </w:rPr>
        <w:t>S</w:t>
      </w:r>
      <w:r w:rsidR="00B3140B" w:rsidRPr="00B3140B">
        <w:rPr>
          <w:color w:val="000000"/>
        </w:rPr>
        <w:t>olvency</w:t>
      </w:r>
      <w:r>
        <w:rPr>
          <w:color w:val="000000"/>
        </w:rPr>
        <w:t xml:space="preserve"> II for US Insurance regulation’</w:t>
      </w:r>
      <w:r w:rsidR="00B3140B" w:rsidRPr="00B3140B">
        <w:rPr>
          <w:color w:val="000000"/>
        </w:rPr>
        <w:t xml:space="preserve"> (2009)</w:t>
      </w:r>
      <w:r>
        <w:rPr>
          <w:color w:val="000000"/>
        </w:rPr>
        <w:t xml:space="preserve"> </w:t>
      </w:r>
      <w:r w:rsidR="00B3140B" w:rsidRPr="00B3140B">
        <w:rPr>
          <w:color w:val="000000"/>
        </w:rPr>
        <w:t>(2009-PB) Networks Fina</w:t>
      </w:r>
      <w:r>
        <w:rPr>
          <w:color w:val="000000"/>
        </w:rPr>
        <w:t>ncial Institute Policy Brief 03</w:t>
      </w:r>
    </w:p>
    <w:p w:rsidR="0001394F" w:rsidRPr="00B3140B" w:rsidRDefault="0001394F" w:rsidP="00B3140B">
      <w:pPr>
        <w:pStyle w:val="StandardWeb"/>
        <w:spacing w:before="0" w:beforeAutospacing="0"/>
        <w:ind w:left="448" w:hanging="448"/>
      </w:pPr>
    </w:p>
    <w:sectPr w:rsidR="0001394F" w:rsidRPr="00B3140B" w:rsidSect="00CC3005">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A02" w:rsidRDefault="00B77A02" w:rsidP="00A92A15">
      <w:pPr>
        <w:spacing w:after="0" w:line="240" w:lineRule="auto"/>
      </w:pPr>
      <w:r>
        <w:separator/>
      </w:r>
    </w:p>
  </w:endnote>
  <w:endnote w:type="continuationSeparator" w:id="0">
    <w:p w:rsidR="00B77A02" w:rsidRDefault="00B77A02" w:rsidP="00A9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A02" w:rsidRDefault="00B77A02" w:rsidP="00A92A15">
      <w:pPr>
        <w:spacing w:after="0" w:line="240" w:lineRule="auto"/>
      </w:pPr>
      <w:r>
        <w:separator/>
      </w:r>
    </w:p>
  </w:footnote>
  <w:footnote w:type="continuationSeparator" w:id="0">
    <w:p w:rsidR="00B77A02" w:rsidRDefault="00B77A02" w:rsidP="00A92A15">
      <w:pPr>
        <w:spacing w:after="0" w:line="240" w:lineRule="auto"/>
      </w:pPr>
      <w:r>
        <w:continuationSeparator/>
      </w:r>
    </w:p>
  </w:footnote>
  <w:footnote w:id="1">
    <w:p w:rsidR="007B1D1A" w:rsidRPr="005A7832" w:rsidRDefault="007B1D1A" w:rsidP="00811C28">
      <w:pPr>
        <w:spacing w:after="0"/>
        <w:rPr>
          <w:rFonts w:ascii="Times New Roman" w:hAnsi="Times New Roman" w:cs="Times New Roman"/>
          <w:sz w:val="20"/>
          <w:szCs w:val="20"/>
        </w:rPr>
      </w:pPr>
      <w:r w:rsidRPr="005A7832">
        <w:rPr>
          <w:rStyle w:val="Funotenzeichen"/>
          <w:rFonts w:ascii="Times New Roman" w:hAnsi="Times New Roman" w:cs="Times New Roman"/>
          <w:sz w:val="20"/>
          <w:szCs w:val="20"/>
        </w:rPr>
        <w:footnoteRef/>
      </w:r>
      <w:r w:rsidRPr="005A7832">
        <w:rPr>
          <w:rFonts w:ascii="Times New Roman" w:hAnsi="Times New Roman" w:cs="Times New Roman"/>
          <w:sz w:val="20"/>
          <w:szCs w:val="20"/>
        </w:rPr>
        <w:t xml:space="preserve"> First Council Directive 79/267/EEC of 5 March 1979 on the coordination of laws, regulations and administrative provisions relating to the taking up and pursuit of the business of direct life assurance [1979] OJ L 63/1 (No longer in force); First Council Directive 73/239/EEC of 24 July 1973 on the coordination of laws, regulations and administrative provisions relating to the taking-up and pursuit of the business of direct insurance other than life assurance [1973] OJ L 228/3. </w:t>
      </w:r>
    </w:p>
  </w:footnote>
  <w:footnote w:id="2">
    <w:p w:rsidR="007B1D1A" w:rsidRPr="005A7832" w:rsidRDefault="007B1D1A">
      <w:pPr>
        <w:pStyle w:val="Funotentext"/>
        <w:rPr>
          <w:lang w:val="en-GB"/>
        </w:rPr>
      </w:pPr>
      <w:r w:rsidRPr="005A7832">
        <w:rPr>
          <w:rStyle w:val="Funotenzeichen"/>
          <w:lang w:val="en-GB"/>
        </w:rPr>
        <w:footnoteRef/>
      </w:r>
      <w:r w:rsidRPr="005A7832">
        <w:rPr>
          <w:lang w:val="en-GB"/>
        </w:rPr>
        <w:t xml:space="preserve"> Directive 2002/12/EC of The European Parliament and of The Council of 5 March 2002 amending Council Directive 79/267/EEC as regards the solvency margin requirements for life assurance undertakings [2002] OJ L 77/11(subsequently repealed by the Directive 2002/83/EC of The European Parliament and of The Council of 5 November 2002 concerning life assurance [2002] OJ L 345/1(Life Directive)) and  Directive 2002/13/EC of The European Parliament and of The Council of 5 March 2002 amending Council Directive 73/239/EEC as regards the solvency margin requirements for non-life insurance undertakings [2002] OJ L 77/17 (Non-life Directive).</w:t>
      </w:r>
    </w:p>
  </w:footnote>
  <w:footnote w:id="3">
    <w:p w:rsidR="007B1D1A" w:rsidRPr="005A7832" w:rsidRDefault="007B1D1A" w:rsidP="00811C28">
      <w:pPr>
        <w:pStyle w:val="Funotentext"/>
        <w:rPr>
          <w:lang w:val="en-GB"/>
        </w:rPr>
      </w:pPr>
      <w:r w:rsidRPr="005A7832">
        <w:rPr>
          <w:rStyle w:val="Funotenzeichen"/>
          <w:lang w:val="en-GB"/>
        </w:rPr>
        <w:footnoteRef/>
      </w:r>
      <w:r w:rsidRPr="005A7832">
        <w:rPr>
          <w:lang w:val="en-GB"/>
        </w:rPr>
        <w:t xml:space="preserve"> Directive 2009/138/EC of The European Parliament and of The Council of 25 November 2009 on the taking-up and pursuit of the business of Insurance and Reinsurance [2009] OJ L 335/1 (Solvency II).</w:t>
      </w:r>
    </w:p>
  </w:footnote>
  <w:footnote w:id="4">
    <w:p w:rsidR="007B1D1A" w:rsidRPr="005A7832" w:rsidRDefault="007B1D1A">
      <w:pPr>
        <w:pStyle w:val="Funotentext"/>
        <w:rPr>
          <w:lang w:val="en-GB"/>
        </w:rPr>
      </w:pPr>
      <w:r w:rsidRPr="005A7832">
        <w:rPr>
          <w:rStyle w:val="Funotenzeichen"/>
          <w:lang w:val="en-GB"/>
        </w:rPr>
        <w:footnoteRef/>
      </w:r>
      <w:r w:rsidRPr="005A7832">
        <w:rPr>
          <w:lang w:val="en-GB"/>
        </w:rPr>
        <w:t xml:space="preserve"> Strictly speaking, some of the provisions of the Directive </w:t>
      </w:r>
      <w:r w:rsidR="005839A8">
        <w:rPr>
          <w:lang w:val="en-GB"/>
        </w:rPr>
        <w:t xml:space="preserve">are </w:t>
      </w:r>
      <w:r w:rsidR="005839A8" w:rsidRPr="005A7832">
        <w:rPr>
          <w:lang w:val="en-GB"/>
        </w:rPr>
        <w:t>already</w:t>
      </w:r>
      <w:r w:rsidR="005839A8">
        <w:rPr>
          <w:lang w:val="en-GB"/>
        </w:rPr>
        <w:t xml:space="preserve"> in</w:t>
      </w:r>
      <w:r w:rsidRPr="005A7832">
        <w:rPr>
          <w:lang w:val="en-GB"/>
        </w:rPr>
        <w:t xml:space="preserve"> force, for example the rules on transposition of the Directive into</w:t>
      </w:r>
      <w:r w:rsidR="008E1BB0">
        <w:rPr>
          <w:lang w:val="en-GB"/>
        </w:rPr>
        <w:t xml:space="preserve"> the</w:t>
      </w:r>
      <w:r w:rsidRPr="005A7832">
        <w:rPr>
          <w:lang w:val="en-GB"/>
        </w:rPr>
        <w:t xml:space="preserve"> national laws. </w:t>
      </w:r>
    </w:p>
  </w:footnote>
  <w:footnote w:id="5">
    <w:p w:rsidR="007B1D1A" w:rsidRPr="005A7832" w:rsidRDefault="007B1D1A" w:rsidP="00811C28">
      <w:pPr>
        <w:pStyle w:val="Funotentext"/>
        <w:rPr>
          <w:lang w:val="en-GB"/>
        </w:rPr>
      </w:pPr>
      <w:r w:rsidRPr="005A7832">
        <w:rPr>
          <w:rStyle w:val="Funotenzeichen"/>
          <w:lang w:val="en-GB"/>
        </w:rPr>
        <w:footnoteRef/>
      </w:r>
      <w:r w:rsidRPr="005A7832">
        <w:rPr>
          <w:lang w:val="en-GB"/>
        </w:rPr>
        <w:t xml:space="preserve"> Directive 2014/51/EU of the European Parliament and of the Council of 16 April 2014 amending Directives 2003/71/EC and 2009/138/EC and Regulations (EC) No 1060/2009, (EU) No 1094/2010 and (EU) No 1095/2010 in respect of the powers of the European Supervisory Authority (European Insurance and Occupational Pensions Authority) and the European Supervisory Authority (European Securities and Markets Authority) [2014] OJ L 153/1 (Omnibus II Directive). </w:t>
      </w:r>
    </w:p>
  </w:footnote>
  <w:footnote w:id="6">
    <w:p w:rsidR="007B1D1A" w:rsidRPr="005A7832" w:rsidRDefault="007B1D1A" w:rsidP="00811C28">
      <w:pPr>
        <w:pStyle w:val="Funotentext"/>
        <w:rPr>
          <w:lang w:val="en-GB"/>
        </w:rPr>
      </w:pPr>
      <w:r w:rsidRPr="005A7832">
        <w:rPr>
          <w:rStyle w:val="Funotenzeichen"/>
          <w:lang w:val="en-GB"/>
        </w:rPr>
        <w:footnoteRef/>
      </w:r>
      <w:r w:rsidRPr="005A7832">
        <w:rPr>
          <w:lang w:val="en-GB"/>
        </w:rPr>
        <w:t xml:space="preserve"> Darag, ’Where does Run-off occur?’ &lt;www.darag.de&gt; accessed 24 </w:t>
      </w:r>
      <w:r w:rsidR="00CC4970">
        <w:rPr>
          <w:lang w:val="en-GB"/>
        </w:rPr>
        <w:t>February</w:t>
      </w:r>
      <w:r w:rsidRPr="005A7832">
        <w:rPr>
          <w:lang w:val="en-GB"/>
        </w:rPr>
        <w:t>, 201</w:t>
      </w:r>
      <w:r w:rsidR="00CA3B1C">
        <w:rPr>
          <w:lang w:val="en-GB"/>
        </w:rPr>
        <w:t>5</w:t>
      </w:r>
      <w:r w:rsidRPr="005A7832">
        <w:rPr>
          <w:lang w:val="en-GB"/>
        </w:rPr>
        <w:t>.</w:t>
      </w:r>
    </w:p>
  </w:footnote>
  <w:footnote w:id="7">
    <w:p w:rsidR="007B1D1A" w:rsidRPr="005A7832" w:rsidRDefault="007B1D1A" w:rsidP="00811C28">
      <w:pPr>
        <w:pStyle w:val="Funotentext"/>
        <w:rPr>
          <w:lang w:val="en-GB"/>
        </w:rPr>
      </w:pPr>
      <w:r w:rsidRPr="005A7832">
        <w:rPr>
          <w:rStyle w:val="Funotenzeichen"/>
          <w:lang w:val="en-GB"/>
        </w:rPr>
        <w:footnoteRef/>
      </w:r>
      <w:r w:rsidRPr="005A7832">
        <w:rPr>
          <w:lang w:val="en-GB"/>
        </w:rPr>
        <w:t xml:space="preserve"> See for example PWC, </w:t>
      </w:r>
      <w:r w:rsidRPr="005A7832">
        <w:rPr>
          <w:i/>
          <w:lang w:val="en-GB"/>
        </w:rPr>
        <w:t>Unlocking Value in Run-Off: A Survey of Discontinued Insurance Business in Europe</w:t>
      </w:r>
      <w:r w:rsidRPr="005A7832">
        <w:rPr>
          <w:lang w:val="en-GB"/>
        </w:rPr>
        <w:t xml:space="preserve"> (8th ed, 2014) and previous editions; KPMG, </w:t>
      </w:r>
      <w:r w:rsidRPr="005A7832">
        <w:rPr>
          <w:i/>
          <w:lang w:val="en-GB"/>
        </w:rPr>
        <w:t>Run-off survey 2010: Run-off in property/casualty insurance and reinsurance in Germany, Switzerland and Austria</w:t>
      </w:r>
      <w:r w:rsidRPr="005A7832">
        <w:rPr>
          <w:lang w:val="en-GB"/>
        </w:rPr>
        <w:t xml:space="preserve"> (KMPG, 2010); KPMG, </w:t>
      </w:r>
      <w:r w:rsidRPr="005A7832">
        <w:rPr>
          <w:i/>
          <w:lang w:val="en-GB"/>
        </w:rPr>
        <w:t>The KPMG UK Run-off survey: Non-life insurance</w:t>
      </w:r>
      <w:r w:rsidRPr="005A7832">
        <w:rPr>
          <w:lang w:val="en-GB"/>
        </w:rPr>
        <w:t xml:space="preserve"> (KPMG, October 2012). </w:t>
      </w:r>
    </w:p>
  </w:footnote>
  <w:footnote w:id="8">
    <w:p w:rsidR="007B1D1A" w:rsidRPr="005A7832" w:rsidRDefault="007B1D1A" w:rsidP="00811C28">
      <w:pPr>
        <w:pStyle w:val="Funotentext"/>
        <w:rPr>
          <w:lang w:val="en-GB"/>
        </w:rPr>
      </w:pPr>
      <w:r w:rsidRPr="005A7832">
        <w:rPr>
          <w:rStyle w:val="Funotenzeichen"/>
          <w:lang w:val="en-GB"/>
        </w:rPr>
        <w:footnoteRef/>
      </w:r>
      <w:r w:rsidRPr="005A7832">
        <w:rPr>
          <w:lang w:val="en-GB"/>
        </w:rPr>
        <w:t xml:space="preserve"> Quane A et al, 'Loss Portfolio Transfers. 2002 GIRO Working Paper' (2002) General Insurance Convention; Hartington A et al, 'Managing a business in run-off' (1995) General Insurance Convention.</w:t>
      </w:r>
    </w:p>
  </w:footnote>
  <w:footnote w:id="9">
    <w:p w:rsidR="007B1D1A" w:rsidRPr="005A7832" w:rsidRDefault="007B1D1A" w:rsidP="00811C28">
      <w:pPr>
        <w:pStyle w:val="Funotentext"/>
        <w:rPr>
          <w:lang w:val="en-GB"/>
        </w:rPr>
      </w:pPr>
      <w:r w:rsidRPr="005A7832">
        <w:rPr>
          <w:rStyle w:val="Funotenzeichen"/>
          <w:lang w:val="en-GB"/>
        </w:rPr>
        <w:footnoteRef/>
      </w:r>
      <w:r w:rsidRPr="005A7832">
        <w:rPr>
          <w:lang w:val="en-GB"/>
        </w:rPr>
        <w:t xml:space="preserve"> Endres K and de Galhau V, Solvency II and the capital charge for run-offs (2010) &lt;www.axa-lm.com&gt; accessed 21 </w:t>
      </w:r>
      <w:r w:rsidR="00F60B64">
        <w:rPr>
          <w:lang w:val="en-GB"/>
        </w:rPr>
        <w:t>February</w:t>
      </w:r>
      <w:r w:rsidRPr="005A7832">
        <w:rPr>
          <w:lang w:val="en-GB"/>
        </w:rPr>
        <w:t xml:space="preserve"> 2014.</w:t>
      </w:r>
    </w:p>
  </w:footnote>
  <w:footnote w:id="10">
    <w:p w:rsidR="007B1D1A" w:rsidRPr="005A7832" w:rsidRDefault="007B1D1A" w:rsidP="00811C28">
      <w:pPr>
        <w:pStyle w:val="Funotentext"/>
        <w:rPr>
          <w:lang w:val="en-GB"/>
        </w:rPr>
      </w:pPr>
      <w:r w:rsidRPr="005A7832">
        <w:rPr>
          <w:rStyle w:val="Funotenzeichen"/>
          <w:lang w:val="en-GB"/>
        </w:rPr>
        <w:footnoteRef/>
      </w:r>
      <w:r w:rsidRPr="005A7832">
        <w:rPr>
          <w:lang w:val="en-GB"/>
        </w:rPr>
        <w:t xml:space="preserve"> Carter S, Bailey B and Butcher T, 'Exit Strategies in the Run-Off Market' (2006) 56(2) FDCC Quarterly 219; Jean Kwon W et al. ’Can Insurance Firms Easily Exit from the Market? A Global Comparative Analysis of Regulatory Structures’ (2005) 30 The Geneva Papers on Risk and Insurance - Issues and Practice 268.</w:t>
      </w:r>
    </w:p>
  </w:footnote>
  <w:footnote w:id="11">
    <w:p w:rsidR="00D27006" w:rsidRPr="005A7832" w:rsidRDefault="00D27006" w:rsidP="00D27006">
      <w:pPr>
        <w:pStyle w:val="Funotentext"/>
        <w:rPr>
          <w:lang w:val="en-GB"/>
        </w:rPr>
      </w:pPr>
      <w:r w:rsidRPr="005A7832">
        <w:rPr>
          <w:rStyle w:val="Funotenzeichen"/>
          <w:lang w:val="en-GB"/>
        </w:rPr>
        <w:footnoteRef/>
      </w:r>
      <w:r w:rsidRPr="005A7832">
        <w:rPr>
          <w:lang w:val="en-GB"/>
        </w:rPr>
        <w:t xml:space="preserve"> Paetzmann K, 'Discontinued German life insurance portfolios: rules-in-use, interest rate risk, and Solvency II' (2011) 19(2) Journal of Financial Regulation &amp; Compliance 117.</w:t>
      </w:r>
    </w:p>
  </w:footnote>
  <w:footnote w:id="12">
    <w:p w:rsidR="00D27006" w:rsidRPr="005A7832" w:rsidRDefault="00D27006" w:rsidP="00D27006">
      <w:pPr>
        <w:pStyle w:val="Funotentext"/>
        <w:rPr>
          <w:lang w:val="en-GB"/>
        </w:rPr>
      </w:pPr>
      <w:r w:rsidRPr="005A7832">
        <w:rPr>
          <w:rStyle w:val="Funotenzeichen"/>
          <w:lang w:val="en-GB"/>
        </w:rPr>
        <w:footnoteRef/>
      </w:r>
      <w:r w:rsidRPr="005A7832">
        <w:rPr>
          <w:lang w:val="en-GB"/>
        </w:rPr>
        <w:t xml:space="preserve"> Eling M and Pankoke D, 'Discontinued business in non-life insurance: an empirical test of the market development in the German-speaking countries' (2014) 4(1) European Actuarial Journal 31.</w:t>
      </w:r>
    </w:p>
  </w:footnote>
  <w:footnote w:id="13">
    <w:p w:rsidR="007B1D1A" w:rsidRPr="005A7832" w:rsidRDefault="007B1D1A" w:rsidP="00811C28">
      <w:pPr>
        <w:pStyle w:val="Funotentext"/>
        <w:rPr>
          <w:lang w:val="en-GB"/>
        </w:rPr>
      </w:pPr>
      <w:r w:rsidRPr="005A7832">
        <w:rPr>
          <w:rStyle w:val="Funotenzeichen"/>
          <w:lang w:val="en-GB"/>
        </w:rPr>
        <w:footnoteRef/>
      </w:r>
      <w:r w:rsidRPr="005A7832">
        <w:rPr>
          <w:lang w:val="en-GB"/>
        </w:rPr>
        <w:t xml:space="preserve"> See for example Ho LC, 'Solvent Schemes for Insurers - A Touch of Class and Jurisdiction' (2006) 3(1) International Corporate Rescue 14 November 2014; Mäntysaari P, 'Erkännande av ett försäkringsbolags solvent scheme' (2013) 2012/13(3) Juridisk Tidskrift 582; Bugler N et al, 'The Future of Solvent Schemes of Arrangement for Insurance Run-Off' (2006) 13(1) Journal of Reinsurance 29.</w:t>
      </w:r>
    </w:p>
  </w:footnote>
  <w:footnote w:id="14">
    <w:p w:rsidR="007B1D1A" w:rsidRPr="005A7832" w:rsidRDefault="007B1D1A" w:rsidP="00811C28">
      <w:pPr>
        <w:pStyle w:val="Funotentext"/>
        <w:rPr>
          <w:lang w:val="en-GB"/>
        </w:rPr>
      </w:pPr>
      <w:r w:rsidRPr="005A7832">
        <w:rPr>
          <w:rStyle w:val="Funotenzeichen"/>
          <w:lang w:val="en-GB"/>
        </w:rPr>
        <w:footnoteRef/>
      </w:r>
      <w:r w:rsidRPr="005A7832">
        <w:rPr>
          <w:lang w:val="en-GB"/>
        </w:rPr>
        <w:t xml:space="preserve"> PWC, </w:t>
      </w:r>
      <w:r w:rsidRPr="005A7832">
        <w:rPr>
          <w:i/>
          <w:lang w:val="en-GB"/>
        </w:rPr>
        <w:t>Unlocking Value in Run-Off: A Survey of Discontinued Insurance Business in Europe</w:t>
      </w:r>
      <w:r w:rsidRPr="005A7832">
        <w:rPr>
          <w:lang w:val="en-GB"/>
        </w:rPr>
        <w:t xml:space="preserve"> (8th ed, 2014). </w:t>
      </w:r>
    </w:p>
  </w:footnote>
  <w:footnote w:id="15">
    <w:p w:rsidR="007B1D1A" w:rsidRPr="005A7832" w:rsidRDefault="007B1D1A" w:rsidP="00811C28">
      <w:pPr>
        <w:pStyle w:val="Funotentext"/>
        <w:rPr>
          <w:lang w:val="en-GB"/>
        </w:rPr>
      </w:pPr>
      <w:r w:rsidRPr="005A7832">
        <w:rPr>
          <w:rStyle w:val="Funotenzeichen"/>
          <w:lang w:val="en-GB"/>
        </w:rPr>
        <w:footnoteRef/>
      </w:r>
      <w:r w:rsidRPr="005A7832">
        <w:rPr>
          <w:lang w:val="en-GB"/>
        </w:rPr>
        <w:t xml:space="preserve"> Insurance Europe, </w:t>
      </w:r>
      <w:r w:rsidRPr="005A7832">
        <w:rPr>
          <w:i/>
          <w:lang w:val="en-GB"/>
        </w:rPr>
        <w:t>European Insurance — Key Facts</w:t>
      </w:r>
      <w:r w:rsidRPr="005A7832">
        <w:rPr>
          <w:lang w:val="en-GB"/>
        </w:rPr>
        <w:t xml:space="preserve"> (August 2014) &lt;</w:t>
      </w:r>
      <w:hyperlink r:id="rId1" w:history="1">
        <w:r w:rsidRPr="005A7832">
          <w:rPr>
            <w:rStyle w:val="Hyperlink"/>
            <w:color w:val="auto"/>
            <w:u w:val="none"/>
            <w:lang w:val="en-GB"/>
          </w:rPr>
          <w:t>http://www.insuranceeurope.eu/uploads/Modules/Publications</w:t>
        </w:r>
      </w:hyperlink>
      <w:r w:rsidRPr="005A7832">
        <w:rPr>
          <w:lang w:val="en-GB"/>
        </w:rPr>
        <w:t xml:space="preserve">&gt; accessed 14 </w:t>
      </w:r>
      <w:r w:rsidR="001B6CC2">
        <w:rPr>
          <w:lang w:val="en-GB"/>
        </w:rPr>
        <w:t>April</w:t>
      </w:r>
      <w:r w:rsidRPr="005A7832">
        <w:rPr>
          <w:lang w:val="en-GB"/>
        </w:rPr>
        <w:t xml:space="preserve"> 201</w:t>
      </w:r>
      <w:r w:rsidR="00D3504A">
        <w:rPr>
          <w:lang w:val="en-GB"/>
        </w:rPr>
        <w:t>5</w:t>
      </w:r>
      <w:r w:rsidRPr="005A7832">
        <w:rPr>
          <w:lang w:val="en-GB"/>
        </w:rPr>
        <w:t xml:space="preserve">. </w:t>
      </w:r>
    </w:p>
  </w:footnote>
  <w:footnote w:id="16">
    <w:p w:rsidR="007B1D1A" w:rsidRPr="005A7832" w:rsidRDefault="007B1D1A">
      <w:pPr>
        <w:pStyle w:val="Funotentext"/>
        <w:rPr>
          <w:lang w:val="en-GB"/>
        </w:rPr>
      </w:pPr>
      <w:r w:rsidRPr="005A7832">
        <w:rPr>
          <w:rStyle w:val="Funotenzeichen"/>
          <w:lang w:val="en-GB"/>
        </w:rPr>
        <w:footnoteRef/>
      </w:r>
      <w:r w:rsidRPr="005A7832">
        <w:rPr>
          <w:lang w:val="en-GB"/>
        </w:rPr>
        <w:t xml:space="preserve"> See for example Vaughan T M, 'The implications of solvency II for US Insurance regulation' (2009-PB) Networks Financial Institute Policy Brief 03.</w:t>
      </w:r>
    </w:p>
  </w:footnote>
  <w:footnote w:id="17">
    <w:p w:rsidR="003649FB" w:rsidRPr="003649FB" w:rsidRDefault="003649FB">
      <w:pPr>
        <w:pStyle w:val="Funotentext"/>
        <w:rPr>
          <w:lang w:val="en-US"/>
        </w:rPr>
      </w:pPr>
      <w:r>
        <w:rPr>
          <w:rStyle w:val="Funotenzeichen"/>
        </w:rPr>
        <w:footnoteRef/>
      </w:r>
      <w:r>
        <w:t xml:space="preserve"> </w:t>
      </w:r>
      <w:r w:rsidRPr="003649FB">
        <w:rPr>
          <w:lang w:val="en-US"/>
        </w:rPr>
        <w:t>It should be noted</w:t>
      </w:r>
      <w:r w:rsidR="00DF7E58">
        <w:rPr>
          <w:lang w:val="en-US"/>
        </w:rPr>
        <w:t>,</w:t>
      </w:r>
      <w:r w:rsidRPr="003649FB">
        <w:rPr>
          <w:lang w:val="en-US"/>
        </w:rPr>
        <w:t xml:space="preserve"> however, that Solvency II is still being often subjected to criticism on theoretical as well as practical levels. </w:t>
      </w:r>
      <w:r>
        <w:rPr>
          <w:lang w:val="en-US"/>
        </w:rPr>
        <w:t xml:space="preserve">Some of this critique will be presented in the following chapters. </w:t>
      </w:r>
    </w:p>
  </w:footnote>
  <w:footnote w:id="18">
    <w:p w:rsidR="00B14028" w:rsidRPr="00414AE5" w:rsidRDefault="00B14028">
      <w:pPr>
        <w:pStyle w:val="Funotentext"/>
        <w:rPr>
          <w:lang w:val="en-US"/>
        </w:rPr>
      </w:pPr>
      <w:r>
        <w:rPr>
          <w:rStyle w:val="Funotenzeichen"/>
        </w:rPr>
        <w:footnoteRef/>
      </w:r>
      <w:r>
        <w:t xml:space="preserve"> </w:t>
      </w:r>
      <w:r w:rsidRPr="00414AE5">
        <w:rPr>
          <w:lang w:val="en-US"/>
        </w:rPr>
        <w:t>Solvency II</w:t>
      </w:r>
      <w:r w:rsidR="00B02655">
        <w:rPr>
          <w:lang w:val="en-US"/>
        </w:rPr>
        <w:t xml:space="preserve"> (n </w:t>
      </w:r>
      <w:r w:rsidR="00B02655">
        <w:rPr>
          <w:lang w:val="en-US"/>
        </w:rPr>
        <w:fldChar w:fldCharType="begin"/>
      </w:r>
      <w:r w:rsidR="00B02655">
        <w:rPr>
          <w:lang w:val="en-US"/>
        </w:rPr>
        <w:instrText xml:space="preserve"> NOTEREF _Ref419296104 \h </w:instrText>
      </w:r>
      <w:r w:rsidR="00B02655">
        <w:rPr>
          <w:lang w:val="en-US"/>
        </w:rPr>
      </w:r>
      <w:r w:rsidR="00B02655">
        <w:rPr>
          <w:lang w:val="en-US"/>
        </w:rPr>
        <w:fldChar w:fldCharType="separate"/>
      </w:r>
      <w:r w:rsidR="003C0B81">
        <w:rPr>
          <w:lang w:val="en-US"/>
        </w:rPr>
        <w:t>3</w:t>
      </w:r>
      <w:r w:rsidR="00B02655">
        <w:rPr>
          <w:lang w:val="en-US"/>
        </w:rPr>
        <w:fldChar w:fldCharType="end"/>
      </w:r>
      <w:r w:rsidR="00B02655">
        <w:rPr>
          <w:lang w:val="en-US"/>
        </w:rPr>
        <w:t>)</w:t>
      </w:r>
      <w:r w:rsidRPr="00414AE5">
        <w:rPr>
          <w:lang w:val="en-US"/>
        </w:rPr>
        <w:t xml:space="preserve">, Preamble. </w:t>
      </w:r>
    </w:p>
  </w:footnote>
  <w:footnote w:id="19">
    <w:p w:rsidR="00E7191F" w:rsidRPr="005A7832" w:rsidRDefault="00E7191F" w:rsidP="00E7191F">
      <w:pPr>
        <w:pStyle w:val="Funotentext"/>
        <w:rPr>
          <w:lang w:val="en-GB"/>
        </w:rPr>
      </w:pPr>
      <w:r w:rsidRPr="005A7832">
        <w:rPr>
          <w:rStyle w:val="Funotenzeichen"/>
          <w:lang w:val="en-GB"/>
        </w:rPr>
        <w:footnoteRef/>
      </w:r>
      <w:r w:rsidRPr="005A7832">
        <w:rPr>
          <w:lang w:val="en-GB"/>
        </w:rPr>
        <w:t xml:space="preserve"> Basel Committee on Banking Supervision, </w:t>
      </w:r>
      <w:r w:rsidRPr="005A7832">
        <w:rPr>
          <w:i/>
          <w:lang w:val="en-GB"/>
        </w:rPr>
        <w:t>International Convergence of Capital Measurement and Capital Standards: A Revised Framework Comprehensive Version</w:t>
      </w:r>
      <w:r>
        <w:rPr>
          <w:lang w:val="en-GB"/>
        </w:rPr>
        <w:t xml:space="preserve"> </w:t>
      </w:r>
      <w:r w:rsidRPr="005A7832">
        <w:rPr>
          <w:lang w:val="en-GB"/>
        </w:rPr>
        <w:t xml:space="preserve">(2006). </w:t>
      </w:r>
    </w:p>
  </w:footnote>
  <w:footnote w:id="20">
    <w:p w:rsidR="003246A9" w:rsidRPr="003246A9" w:rsidRDefault="003246A9">
      <w:pPr>
        <w:pStyle w:val="Funotentext"/>
        <w:rPr>
          <w:lang w:val="en-US"/>
        </w:rPr>
      </w:pPr>
      <w:r>
        <w:rPr>
          <w:rStyle w:val="Funotenzeichen"/>
        </w:rPr>
        <w:footnoteRef/>
      </w:r>
      <w:r>
        <w:t xml:space="preserve"> </w:t>
      </w:r>
      <w:r w:rsidRPr="003246A9">
        <w:rPr>
          <w:lang w:val="en-US"/>
        </w:rPr>
        <w:t xml:space="preserve">Non-life Directive </w:t>
      </w:r>
      <w:r w:rsidR="00F97407">
        <w:rPr>
          <w:lang w:val="en-US"/>
        </w:rPr>
        <w:t xml:space="preserve">(n </w:t>
      </w:r>
      <w:r w:rsidR="00F97407">
        <w:rPr>
          <w:lang w:val="en-US"/>
        </w:rPr>
        <w:fldChar w:fldCharType="begin"/>
      </w:r>
      <w:r w:rsidR="00F97407">
        <w:rPr>
          <w:lang w:val="en-US"/>
        </w:rPr>
        <w:instrText xml:space="preserve"> NOTEREF _Ref419296117 \h </w:instrText>
      </w:r>
      <w:r w:rsidR="00F97407">
        <w:rPr>
          <w:lang w:val="en-US"/>
        </w:rPr>
      </w:r>
      <w:r w:rsidR="00F97407">
        <w:rPr>
          <w:lang w:val="en-US"/>
        </w:rPr>
        <w:fldChar w:fldCharType="separate"/>
      </w:r>
      <w:r w:rsidR="003C0B81">
        <w:rPr>
          <w:lang w:val="en-US"/>
        </w:rPr>
        <w:t>2</w:t>
      </w:r>
      <w:r w:rsidR="00F97407">
        <w:rPr>
          <w:lang w:val="en-US"/>
        </w:rPr>
        <w:fldChar w:fldCharType="end"/>
      </w:r>
      <w:r w:rsidR="00F97407">
        <w:rPr>
          <w:lang w:val="en-US"/>
        </w:rPr>
        <w:t xml:space="preserve">) </w:t>
      </w:r>
      <w:r w:rsidRPr="003246A9">
        <w:rPr>
          <w:lang w:val="en-US"/>
        </w:rPr>
        <w:t xml:space="preserve">art 16(a). </w:t>
      </w:r>
    </w:p>
  </w:footnote>
  <w:footnote w:id="21">
    <w:p w:rsidR="00340C7C" w:rsidRPr="009927DB" w:rsidRDefault="00340C7C">
      <w:pPr>
        <w:pStyle w:val="Funotentext"/>
        <w:rPr>
          <w:lang w:val="en-US"/>
        </w:rPr>
      </w:pPr>
      <w:r>
        <w:rPr>
          <w:rStyle w:val="Funotenzeichen"/>
        </w:rPr>
        <w:footnoteRef/>
      </w:r>
      <w:r>
        <w:t xml:space="preserve"> </w:t>
      </w:r>
      <w:r w:rsidRPr="009927DB">
        <w:rPr>
          <w:lang w:val="en-US"/>
        </w:rPr>
        <w:t>Solvency II</w:t>
      </w:r>
      <w:r w:rsidR="00F97407">
        <w:rPr>
          <w:lang w:val="en-US"/>
        </w:rPr>
        <w:t xml:space="preserve"> (n </w:t>
      </w:r>
      <w:r w:rsidR="00F97407">
        <w:rPr>
          <w:lang w:val="en-US"/>
        </w:rPr>
        <w:fldChar w:fldCharType="begin"/>
      </w:r>
      <w:r w:rsidR="00F97407">
        <w:rPr>
          <w:lang w:val="en-US"/>
        </w:rPr>
        <w:instrText xml:space="preserve"> NOTEREF _Ref419296104 \h </w:instrText>
      </w:r>
      <w:r w:rsidR="00F97407">
        <w:rPr>
          <w:lang w:val="en-US"/>
        </w:rPr>
      </w:r>
      <w:r w:rsidR="00F97407">
        <w:rPr>
          <w:lang w:val="en-US"/>
        </w:rPr>
        <w:fldChar w:fldCharType="separate"/>
      </w:r>
      <w:r w:rsidR="003C0B81">
        <w:rPr>
          <w:lang w:val="en-US"/>
        </w:rPr>
        <w:t>3</w:t>
      </w:r>
      <w:r w:rsidR="00F97407">
        <w:rPr>
          <w:lang w:val="en-US"/>
        </w:rPr>
        <w:fldChar w:fldCharType="end"/>
      </w:r>
      <w:r w:rsidR="00F97407">
        <w:rPr>
          <w:lang w:val="en-US"/>
        </w:rPr>
        <w:t>)</w:t>
      </w:r>
      <w:r w:rsidRPr="009927DB">
        <w:rPr>
          <w:lang w:val="en-US"/>
        </w:rPr>
        <w:t xml:space="preserve">, art 36. </w:t>
      </w:r>
    </w:p>
  </w:footnote>
  <w:footnote w:id="22">
    <w:p w:rsidR="00BA67B1" w:rsidRPr="009927DB" w:rsidRDefault="00BA67B1">
      <w:pPr>
        <w:pStyle w:val="Funotentext"/>
        <w:rPr>
          <w:lang w:val="en-US"/>
        </w:rPr>
      </w:pPr>
      <w:r>
        <w:rPr>
          <w:rStyle w:val="Funotenzeichen"/>
        </w:rPr>
        <w:footnoteRef/>
      </w:r>
      <w:r>
        <w:t xml:space="preserve"> </w:t>
      </w:r>
      <w:r w:rsidR="00145BE6" w:rsidRPr="00F10289">
        <w:rPr>
          <w:lang w:val="en-US"/>
        </w:rPr>
        <w:t>i</w:t>
      </w:r>
      <w:r w:rsidRPr="00F10289">
        <w:rPr>
          <w:lang w:val="en-US"/>
        </w:rPr>
        <w:t xml:space="preserve">bid art 41. </w:t>
      </w:r>
    </w:p>
  </w:footnote>
  <w:footnote w:id="23">
    <w:p w:rsidR="003B5268" w:rsidRPr="005A7832" w:rsidRDefault="003B5268" w:rsidP="003B5268">
      <w:pPr>
        <w:pStyle w:val="Funotentext"/>
        <w:rPr>
          <w:lang w:val="en-GB"/>
        </w:rPr>
      </w:pPr>
      <w:r w:rsidRPr="005A7832">
        <w:rPr>
          <w:rStyle w:val="Funotenzeichen"/>
          <w:lang w:val="en-GB"/>
        </w:rPr>
        <w:footnoteRef/>
      </w:r>
      <w:r w:rsidRPr="005A7832">
        <w:rPr>
          <w:lang w:val="en-GB"/>
        </w:rPr>
        <w:t xml:space="preserve"> ibid art 45. </w:t>
      </w:r>
    </w:p>
  </w:footnote>
  <w:footnote w:id="24">
    <w:p w:rsidR="00F10289" w:rsidRPr="009927DB" w:rsidRDefault="00F10289">
      <w:pPr>
        <w:pStyle w:val="Funotentext"/>
        <w:rPr>
          <w:lang w:val="en-US"/>
        </w:rPr>
      </w:pPr>
      <w:r>
        <w:rPr>
          <w:rStyle w:val="Funotenzeichen"/>
        </w:rPr>
        <w:footnoteRef/>
      </w:r>
      <w:r>
        <w:t xml:space="preserve"> </w:t>
      </w:r>
      <w:r w:rsidRPr="009927DB">
        <w:rPr>
          <w:lang w:val="en-US"/>
        </w:rPr>
        <w:t xml:space="preserve">ibid art 51. </w:t>
      </w:r>
    </w:p>
  </w:footnote>
  <w:footnote w:id="25">
    <w:p w:rsidR="00CB30B6" w:rsidRPr="009927DB" w:rsidRDefault="00CB30B6">
      <w:pPr>
        <w:pStyle w:val="Funotentext"/>
        <w:rPr>
          <w:lang w:val="en-US"/>
        </w:rPr>
      </w:pPr>
      <w:r>
        <w:rPr>
          <w:rStyle w:val="Funotenzeichen"/>
        </w:rPr>
        <w:footnoteRef/>
      </w:r>
      <w:r>
        <w:t xml:space="preserve"> </w:t>
      </w:r>
      <w:r w:rsidRPr="009927DB">
        <w:rPr>
          <w:lang w:val="en-US"/>
        </w:rPr>
        <w:t xml:space="preserve">ibid art 53. </w:t>
      </w:r>
    </w:p>
  </w:footnote>
  <w:footnote w:id="26">
    <w:p w:rsidR="00362309" w:rsidRPr="00362309" w:rsidRDefault="00362309">
      <w:pPr>
        <w:pStyle w:val="Funotentext"/>
        <w:rPr>
          <w:lang w:val="en-GB"/>
        </w:rPr>
      </w:pPr>
      <w:r>
        <w:rPr>
          <w:rStyle w:val="Funotenzeichen"/>
        </w:rPr>
        <w:footnoteRef/>
      </w:r>
      <w:r>
        <w:t xml:space="preserve"> </w:t>
      </w:r>
      <w:r w:rsidRPr="00362309">
        <w:rPr>
          <w:lang w:val="en-US"/>
        </w:rPr>
        <w:t xml:space="preserve">See for ex </w:t>
      </w:r>
      <w:r w:rsidRPr="00490E37">
        <w:rPr>
          <w:lang w:val="en-GB"/>
        </w:rPr>
        <w:t xml:space="preserve">Eiling </w:t>
      </w:r>
      <w:r w:rsidRPr="00490E37">
        <w:rPr>
          <w:i/>
          <w:lang w:val="en-GB"/>
        </w:rPr>
        <w:t xml:space="preserve">et al, </w:t>
      </w:r>
      <w:r w:rsidRPr="00490E37">
        <w:rPr>
          <w:lang w:val="en-GB"/>
        </w:rPr>
        <w:t>’The Solvency II Process: Overview and Critical Analysis’ (2007) 10 Risk Man</w:t>
      </w:r>
      <w:r>
        <w:rPr>
          <w:lang w:val="en-GB"/>
        </w:rPr>
        <w:t xml:space="preserve">agement and Insurance Review 69; </w:t>
      </w:r>
      <w:r w:rsidRPr="00362309">
        <w:rPr>
          <w:lang w:val="en-GB"/>
        </w:rPr>
        <w:t>Andrew Haldane, 'The dog and the frisbee'. Speech at the Federal Reserve Bank of Kansas City’s 366th economic policy symposium, “The changing policy landscape”, Jackso</w:t>
      </w:r>
      <w:r>
        <w:rPr>
          <w:lang w:val="en-GB"/>
        </w:rPr>
        <w:t xml:space="preserve">n Hole, Wyoming, 31 August 2012; </w:t>
      </w:r>
      <w:r w:rsidR="009234F9" w:rsidRPr="009234F9">
        <w:rPr>
          <w:lang w:val="en-GB"/>
        </w:rPr>
        <w:t xml:space="preserve">Alberto Floreani, ’Risk Measures and Capital Requirements: A Critique of Solvency II Approach’ </w:t>
      </w:r>
      <w:r w:rsidR="009234F9">
        <w:rPr>
          <w:lang w:val="en-GB"/>
        </w:rPr>
        <w:t xml:space="preserve">(2013) 38 The Geneva Papers 189; </w:t>
      </w:r>
      <w:r w:rsidRPr="00490E37">
        <w:rPr>
          <w:lang w:val="en-GB"/>
        </w:rPr>
        <w:t>’Solvency II uncertainty. A reality.’ (</w:t>
      </w:r>
      <w:r w:rsidRPr="00490E37">
        <w:rPr>
          <w:i/>
          <w:lang w:val="en-GB"/>
        </w:rPr>
        <w:t xml:space="preserve">Solvency II Wire, </w:t>
      </w:r>
      <w:r w:rsidRPr="00490E37">
        <w:rPr>
          <w:lang w:val="en-GB"/>
        </w:rPr>
        <w:t>13 October 2014)</w:t>
      </w:r>
      <w:r>
        <w:rPr>
          <w:lang w:val="en-GB"/>
        </w:rPr>
        <w:t xml:space="preserve">. </w:t>
      </w:r>
    </w:p>
  </w:footnote>
  <w:footnote w:id="27">
    <w:p w:rsidR="005027E2" w:rsidRPr="00490E37" w:rsidRDefault="005027E2" w:rsidP="005027E2">
      <w:pPr>
        <w:pStyle w:val="Funotentext"/>
        <w:rPr>
          <w:lang w:val="en-GB"/>
        </w:rPr>
      </w:pPr>
      <w:r w:rsidRPr="00490E37">
        <w:rPr>
          <w:rStyle w:val="Funotenzeichen"/>
          <w:lang w:val="en-GB"/>
        </w:rPr>
        <w:footnoteRef/>
      </w:r>
      <w:r w:rsidRPr="00490E37">
        <w:rPr>
          <w:lang w:val="en-GB"/>
        </w:rPr>
        <w:t xml:space="preserve"> EIOPA ‘Report on the firth Quantitative Impact Study for Solvency II’ (EIOPA-TFQIS5-11/001 2013 (QIS5)) 76. </w:t>
      </w:r>
    </w:p>
  </w:footnote>
  <w:footnote w:id="28">
    <w:p w:rsidR="007B1D1A" w:rsidRPr="005A7832" w:rsidRDefault="007B1D1A">
      <w:pPr>
        <w:pStyle w:val="Funotentext"/>
        <w:rPr>
          <w:lang w:val="en-GB"/>
        </w:rPr>
      </w:pPr>
      <w:r w:rsidRPr="005A7832">
        <w:rPr>
          <w:rStyle w:val="Funotenzeichen"/>
          <w:lang w:val="en-GB"/>
        </w:rPr>
        <w:footnoteRef/>
      </w:r>
      <w:r w:rsidRPr="005A7832">
        <w:rPr>
          <w:lang w:val="en-GB"/>
        </w:rPr>
        <w:t xml:space="preserve"> Casualty Actuarial Society, ‘The Business of Run-Off’ (2011) &lt;www.casact.org&gt; accessed 24 </w:t>
      </w:r>
      <w:r w:rsidR="00D3504A">
        <w:rPr>
          <w:lang w:val="en-GB"/>
        </w:rPr>
        <w:t>February, 2015</w:t>
      </w:r>
      <w:r w:rsidRPr="005A7832">
        <w:rPr>
          <w:lang w:val="en-GB"/>
        </w:rPr>
        <w:t>.</w:t>
      </w:r>
    </w:p>
  </w:footnote>
  <w:footnote w:id="29">
    <w:p w:rsidR="00194501" w:rsidRPr="005A7832" w:rsidRDefault="00194501" w:rsidP="00194501">
      <w:pPr>
        <w:pStyle w:val="Funotentext"/>
        <w:rPr>
          <w:lang w:val="en-GB"/>
        </w:rPr>
      </w:pPr>
      <w:r w:rsidRPr="005A7832">
        <w:rPr>
          <w:rStyle w:val="Funotenzeichen"/>
          <w:lang w:val="en-GB"/>
        </w:rPr>
        <w:footnoteRef/>
      </w:r>
      <w:r w:rsidRPr="005A7832">
        <w:rPr>
          <w:lang w:val="en-GB"/>
        </w:rPr>
        <w:t xml:space="preserve"> Darag (n </w:t>
      </w:r>
      <w:r w:rsidRPr="005A7832">
        <w:rPr>
          <w:lang w:val="en-GB"/>
        </w:rPr>
        <w:fldChar w:fldCharType="begin"/>
      </w:r>
      <w:r w:rsidRPr="005A7832">
        <w:rPr>
          <w:lang w:val="en-GB"/>
        </w:rPr>
        <w:instrText xml:space="preserve"> NOTEREF _Ref404001186 \h  \* MERGEFORMAT </w:instrText>
      </w:r>
      <w:r w:rsidRPr="005A7832">
        <w:rPr>
          <w:lang w:val="en-GB"/>
        </w:rPr>
      </w:r>
      <w:r w:rsidRPr="005A7832">
        <w:rPr>
          <w:lang w:val="en-GB"/>
        </w:rPr>
        <w:fldChar w:fldCharType="separate"/>
      </w:r>
      <w:r w:rsidR="003C0B81">
        <w:rPr>
          <w:lang w:val="en-GB"/>
        </w:rPr>
        <w:t>6</w:t>
      </w:r>
      <w:r w:rsidRPr="005A7832">
        <w:rPr>
          <w:lang w:val="en-GB"/>
        </w:rPr>
        <w:fldChar w:fldCharType="end"/>
      </w:r>
      <w:r w:rsidRPr="005A7832">
        <w:rPr>
          <w:lang w:val="en-GB"/>
        </w:rPr>
        <w:t xml:space="preserve">). </w:t>
      </w:r>
    </w:p>
  </w:footnote>
  <w:footnote w:id="30">
    <w:p w:rsidR="007B1D1A" w:rsidRPr="005A7832" w:rsidRDefault="007B1D1A">
      <w:pPr>
        <w:pStyle w:val="Funotentext"/>
        <w:rPr>
          <w:lang w:val="en-GB"/>
        </w:rPr>
      </w:pPr>
      <w:r w:rsidRPr="005A7832">
        <w:rPr>
          <w:rStyle w:val="Funotenzeichen"/>
          <w:lang w:val="en-GB"/>
        </w:rPr>
        <w:footnoteRef/>
      </w:r>
      <w:r w:rsidRPr="005A7832">
        <w:rPr>
          <w:lang w:val="en-GB"/>
        </w:rPr>
        <w:t xml:space="preserve"> Eling M and Pankoke D (n </w:t>
      </w:r>
      <w:r w:rsidRPr="005A7832">
        <w:rPr>
          <w:lang w:val="en-GB"/>
        </w:rPr>
        <w:fldChar w:fldCharType="begin"/>
      </w:r>
      <w:r w:rsidRPr="005A7832">
        <w:rPr>
          <w:lang w:val="en-GB"/>
        </w:rPr>
        <w:instrText xml:space="preserve"> NOTEREF _Ref404000920 \h  \* MERGEFORMAT </w:instrText>
      </w:r>
      <w:r w:rsidRPr="005A7832">
        <w:rPr>
          <w:lang w:val="en-GB"/>
        </w:rPr>
      </w:r>
      <w:r w:rsidRPr="005A7832">
        <w:rPr>
          <w:lang w:val="en-GB"/>
        </w:rPr>
        <w:fldChar w:fldCharType="separate"/>
      </w:r>
      <w:r w:rsidR="003C0B81">
        <w:rPr>
          <w:lang w:val="en-GB"/>
        </w:rPr>
        <w:t>12</w:t>
      </w:r>
      <w:r w:rsidRPr="005A7832">
        <w:rPr>
          <w:lang w:val="en-GB"/>
        </w:rPr>
        <w:fldChar w:fldCharType="end"/>
      </w:r>
      <w:r w:rsidRPr="005A7832">
        <w:rPr>
          <w:lang w:val="en-GB"/>
        </w:rPr>
        <w:t xml:space="preserve">). </w:t>
      </w:r>
    </w:p>
  </w:footnote>
  <w:footnote w:id="31">
    <w:p w:rsidR="007B1D1A" w:rsidRPr="005A7832" w:rsidRDefault="007B1D1A">
      <w:pPr>
        <w:pStyle w:val="Funotentext"/>
        <w:rPr>
          <w:lang w:val="en-GB"/>
        </w:rPr>
      </w:pPr>
      <w:r w:rsidRPr="005A7832">
        <w:rPr>
          <w:rStyle w:val="Funotenzeichen"/>
          <w:lang w:val="en-GB"/>
        </w:rPr>
        <w:footnoteRef/>
      </w:r>
      <w:r w:rsidRPr="005A7832">
        <w:rPr>
          <w:lang w:val="en-GB"/>
        </w:rPr>
        <w:t xml:space="preserve"> KPMG, </w:t>
      </w:r>
      <w:r w:rsidRPr="005A7832">
        <w:rPr>
          <w:i/>
          <w:lang w:val="en-GB"/>
        </w:rPr>
        <w:t>Run-off survey 2010: Run-off in property/casualty insurance and reinsurance in Germany, Switzerland and Austria</w:t>
      </w:r>
      <w:r w:rsidRPr="005A7832">
        <w:rPr>
          <w:lang w:val="en-GB"/>
        </w:rPr>
        <w:t xml:space="preserve"> (KMPG, 2010).</w:t>
      </w:r>
    </w:p>
  </w:footnote>
  <w:footnote w:id="32">
    <w:p w:rsidR="007B1D1A" w:rsidRPr="005A7832" w:rsidRDefault="007B1D1A" w:rsidP="004F6FB0">
      <w:pPr>
        <w:pStyle w:val="Funotentext"/>
        <w:rPr>
          <w:lang w:val="en-GB"/>
        </w:rPr>
      </w:pPr>
      <w:r w:rsidRPr="005A7832">
        <w:rPr>
          <w:rStyle w:val="Funotenzeichen"/>
          <w:lang w:val="en-GB"/>
        </w:rPr>
        <w:footnoteRef/>
      </w:r>
      <w:r w:rsidRPr="005A7832">
        <w:rPr>
          <w:lang w:val="en-GB"/>
        </w:rPr>
        <w:t xml:space="preserve"> See ibid; ’Maximising Run-Off Strategies’ </w:t>
      </w:r>
      <w:r w:rsidRPr="005A7832">
        <w:rPr>
          <w:i/>
          <w:lang w:val="en-GB"/>
        </w:rPr>
        <w:t xml:space="preserve">Insider Quarterly </w:t>
      </w:r>
      <w:r w:rsidRPr="005A7832">
        <w:rPr>
          <w:lang w:val="en-GB"/>
        </w:rPr>
        <w:t xml:space="preserve">(Spring 2006) &lt;http://www.insiderquarterly.com/assets/_files/documents/jan_10/ii__1264613260_Maximising_Run-Off_Strategies.pdf&gt; accessed 28 </w:t>
      </w:r>
      <w:r w:rsidR="002E7568">
        <w:rPr>
          <w:lang w:val="en-GB"/>
        </w:rPr>
        <w:t>March</w:t>
      </w:r>
      <w:r w:rsidRPr="005A7832">
        <w:rPr>
          <w:lang w:val="en-GB"/>
        </w:rPr>
        <w:t xml:space="preserve"> 201</w:t>
      </w:r>
      <w:r w:rsidR="002E7568">
        <w:rPr>
          <w:lang w:val="en-GB"/>
        </w:rPr>
        <w:t>5</w:t>
      </w:r>
      <w:r w:rsidRPr="005A7832">
        <w:rPr>
          <w:lang w:val="en-GB"/>
        </w:rPr>
        <w:t xml:space="preserve">; Eling M and Pankoke D (n </w:t>
      </w:r>
      <w:r w:rsidRPr="005A7832">
        <w:rPr>
          <w:lang w:val="en-GB"/>
        </w:rPr>
        <w:fldChar w:fldCharType="begin"/>
      </w:r>
      <w:r w:rsidRPr="005A7832">
        <w:rPr>
          <w:lang w:val="en-GB"/>
        </w:rPr>
        <w:instrText xml:space="preserve"> NOTEREF _Ref404000920 \h  \* MERGEFORMAT </w:instrText>
      </w:r>
      <w:r w:rsidRPr="005A7832">
        <w:rPr>
          <w:lang w:val="en-GB"/>
        </w:rPr>
      </w:r>
      <w:r w:rsidRPr="005A7832">
        <w:rPr>
          <w:lang w:val="en-GB"/>
        </w:rPr>
        <w:fldChar w:fldCharType="separate"/>
      </w:r>
      <w:r w:rsidR="003C0B81">
        <w:rPr>
          <w:lang w:val="en-GB"/>
        </w:rPr>
        <w:t>12</w:t>
      </w:r>
      <w:r w:rsidRPr="005A7832">
        <w:rPr>
          <w:lang w:val="en-GB"/>
        </w:rPr>
        <w:fldChar w:fldCharType="end"/>
      </w:r>
      <w:r w:rsidRPr="005A7832">
        <w:rPr>
          <w:lang w:val="en-GB"/>
        </w:rPr>
        <w:t xml:space="preserve">) </w:t>
      </w:r>
      <w:r w:rsidRPr="005A7832">
        <w:rPr>
          <w:sz w:val="19"/>
          <w:szCs w:val="19"/>
          <w:lang w:val="en-GB"/>
        </w:rPr>
        <w:t xml:space="preserve">for various classifications of the run-off management options. </w:t>
      </w:r>
    </w:p>
  </w:footnote>
  <w:footnote w:id="33">
    <w:p w:rsidR="007B1D1A" w:rsidRPr="005A7832" w:rsidRDefault="007B1D1A">
      <w:pPr>
        <w:pStyle w:val="Funotentext"/>
        <w:rPr>
          <w:lang w:val="en-GB"/>
        </w:rPr>
      </w:pPr>
      <w:r w:rsidRPr="005A7832">
        <w:rPr>
          <w:rStyle w:val="Funotenzeichen"/>
          <w:lang w:val="en-GB"/>
        </w:rPr>
        <w:footnoteRef/>
      </w:r>
      <w:r w:rsidRPr="005A7832">
        <w:rPr>
          <w:lang w:val="en-GB"/>
        </w:rPr>
        <w:t xml:space="preserve"> PWC (n </w:t>
      </w:r>
      <w:r w:rsidRPr="005A7832">
        <w:rPr>
          <w:lang w:val="en-GB"/>
        </w:rPr>
        <w:fldChar w:fldCharType="begin"/>
      </w:r>
      <w:r w:rsidRPr="005A7832">
        <w:rPr>
          <w:lang w:val="en-GB"/>
        </w:rPr>
        <w:instrText xml:space="preserve"> NOTEREF _Ref404088590 \h  \* MERGEFORMAT </w:instrText>
      </w:r>
      <w:r w:rsidRPr="005A7832">
        <w:rPr>
          <w:lang w:val="en-GB"/>
        </w:rPr>
      </w:r>
      <w:r w:rsidRPr="005A7832">
        <w:rPr>
          <w:lang w:val="en-GB"/>
        </w:rPr>
        <w:fldChar w:fldCharType="separate"/>
      </w:r>
      <w:r w:rsidR="003C0B81">
        <w:rPr>
          <w:lang w:val="en-GB"/>
        </w:rPr>
        <w:t>14</w:t>
      </w:r>
      <w:r w:rsidRPr="005A7832">
        <w:rPr>
          <w:lang w:val="en-GB"/>
        </w:rPr>
        <w:fldChar w:fldCharType="end"/>
      </w:r>
      <w:r w:rsidRPr="005A7832">
        <w:rPr>
          <w:lang w:val="en-GB"/>
        </w:rPr>
        <w:t xml:space="preserve">). </w:t>
      </w:r>
    </w:p>
  </w:footnote>
  <w:footnote w:id="34">
    <w:p w:rsidR="007077D8" w:rsidRPr="007077D8" w:rsidRDefault="007077D8">
      <w:pPr>
        <w:pStyle w:val="Funotentext"/>
        <w:rPr>
          <w:lang w:val="en-US"/>
        </w:rPr>
      </w:pPr>
      <w:r>
        <w:rPr>
          <w:rStyle w:val="Funotenzeichen"/>
        </w:rPr>
        <w:footnoteRef/>
      </w:r>
      <w:r>
        <w:t xml:space="preserve"> </w:t>
      </w:r>
      <w:r w:rsidRPr="007077D8">
        <w:rPr>
          <w:lang w:val="en-US"/>
        </w:rPr>
        <w:t>Labes H</w:t>
      </w:r>
      <w:r>
        <w:rPr>
          <w:lang w:val="en-US"/>
        </w:rPr>
        <w:t>, ‘</w:t>
      </w:r>
      <w:r>
        <w:t>A Trigger for Consolidation</w:t>
      </w:r>
      <w:r w:rsidRPr="007077D8">
        <w:rPr>
          <w:lang w:val="en-US"/>
        </w:rPr>
        <w:t>’</w:t>
      </w:r>
      <w:r w:rsidRPr="007077D8">
        <w:t xml:space="preserve"> (2011)</w:t>
      </w:r>
      <w:r w:rsidRPr="003A0A12">
        <w:rPr>
          <w:lang w:val="en-US"/>
        </w:rPr>
        <w:t xml:space="preserve"> </w:t>
      </w:r>
      <w:r w:rsidRPr="007077D8">
        <w:t>36 Run Off &amp; Restructuring 16.</w:t>
      </w:r>
    </w:p>
  </w:footnote>
  <w:footnote w:id="35">
    <w:p w:rsidR="007B1D1A" w:rsidRPr="005A7832" w:rsidRDefault="007B1D1A">
      <w:pPr>
        <w:pStyle w:val="Funotentext"/>
        <w:rPr>
          <w:lang w:val="en-GB"/>
        </w:rPr>
      </w:pPr>
      <w:r w:rsidRPr="005A7832">
        <w:rPr>
          <w:rStyle w:val="Funotenzeichen"/>
          <w:lang w:val="en-GB"/>
        </w:rPr>
        <w:footnoteRef/>
      </w:r>
      <w:r w:rsidRPr="005A7832">
        <w:rPr>
          <w:lang w:val="en-GB"/>
        </w:rPr>
        <w:t xml:space="preserve"> Solvency II</w:t>
      </w:r>
      <w:r w:rsidR="00CF7C90">
        <w:rPr>
          <w:lang w:val="en-GB"/>
        </w:rPr>
        <w:t xml:space="preserve"> (n </w:t>
      </w:r>
      <w:r w:rsidR="00CF7C90">
        <w:rPr>
          <w:lang w:val="en-GB"/>
        </w:rPr>
        <w:fldChar w:fldCharType="begin"/>
      </w:r>
      <w:r w:rsidR="00CF7C90">
        <w:rPr>
          <w:lang w:val="en-GB"/>
        </w:rPr>
        <w:instrText xml:space="preserve"> NOTEREF _Ref419296104 \h </w:instrText>
      </w:r>
      <w:r w:rsidR="00CF7C90">
        <w:rPr>
          <w:lang w:val="en-GB"/>
        </w:rPr>
      </w:r>
      <w:r w:rsidR="00CF7C90">
        <w:rPr>
          <w:lang w:val="en-GB"/>
        </w:rPr>
        <w:fldChar w:fldCharType="separate"/>
      </w:r>
      <w:r w:rsidR="00CF7C90">
        <w:rPr>
          <w:lang w:val="en-GB"/>
        </w:rPr>
        <w:t>3</w:t>
      </w:r>
      <w:r w:rsidR="00CF7C90">
        <w:rPr>
          <w:lang w:val="en-GB"/>
        </w:rPr>
        <w:fldChar w:fldCharType="end"/>
      </w:r>
      <w:r w:rsidR="00CF7C90">
        <w:rPr>
          <w:lang w:val="en-GB"/>
        </w:rPr>
        <w:t>)</w:t>
      </w:r>
      <w:r w:rsidRPr="005A7832">
        <w:rPr>
          <w:lang w:val="en-GB"/>
        </w:rPr>
        <w:t xml:space="preserve">, Annex IV. </w:t>
      </w:r>
    </w:p>
  </w:footnote>
  <w:footnote w:id="36">
    <w:p w:rsidR="007B1D1A" w:rsidRPr="005A7832" w:rsidRDefault="007B1D1A" w:rsidP="00450B40">
      <w:pPr>
        <w:pStyle w:val="Funotentext"/>
        <w:rPr>
          <w:lang w:val="en-GB"/>
        </w:rPr>
      </w:pPr>
      <w:r w:rsidRPr="005A7832">
        <w:rPr>
          <w:rStyle w:val="Funotenzeichen"/>
          <w:lang w:val="en-GB"/>
        </w:rPr>
        <w:footnoteRef/>
      </w:r>
      <w:r w:rsidRPr="005A7832">
        <w:rPr>
          <w:lang w:val="en-GB"/>
        </w:rPr>
        <w:t xml:space="preserve"> Gurenko</w:t>
      </w:r>
      <w:r w:rsidR="00A1188A">
        <w:rPr>
          <w:lang w:val="en-GB"/>
        </w:rPr>
        <w:t xml:space="preserve"> E</w:t>
      </w:r>
      <w:r w:rsidRPr="005A7832">
        <w:rPr>
          <w:lang w:val="en-GB"/>
        </w:rPr>
        <w:t xml:space="preserve"> and Itigin</w:t>
      </w:r>
      <w:r w:rsidR="00A1188A">
        <w:rPr>
          <w:lang w:val="en-GB"/>
        </w:rPr>
        <w:t xml:space="preserve"> A,</w:t>
      </w:r>
      <w:r w:rsidRPr="005A7832">
        <w:rPr>
          <w:lang w:val="en-GB"/>
        </w:rPr>
        <w:t xml:space="preserve"> ’Reinsurance as Capital Optimization Tool under Solvency II’ (2013), Policy Research Working Paper 6306, &lt;openknowledge.worldbank.org/handle/10986/12188&gt; accessed 28 </w:t>
      </w:r>
      <w:r w:rsidR="00A406F8">
        <w:rPr>
          <w:lang w:val="en-GB"/>
        </w:rPr>
        <w:t>March</w:t>
      </w:r>
      <w:r w:rsidR="00C139F3">
        <w:rPr>
          <w:lang w:val="en-GB"/>
        </w:rPr>
        <w:t xml:space="preserve"> 2015</w:t>
      </w:r>
      <w:r w:rsidRPr="005A7832">
        <w:rPr>
          <w:lang w:val="en-GB"/>
        </w:rPr>
        <w:t xml:space="preserve">. </w:t>
      </w:r>
    </w:p>
  </w:footnote>
  <w:footnote w:id="37">
    <w:p w:rsidR="007B1D1A" w:rsidRPr="005A7832" w:rsidRDefault="007B1D1A" w:rsidP="00392DC4">
      <w:pPr>
        <w:pStyle w:val="Funotentext"/>
        <w:rPr>
          <w:lang w:val="en-GB"/>
        </w:rPr>
      </w:pPr>
      <w:r w:rsidRPr="005A7832">
        <w:rPr>
          <w:rStyle w:val="Funotenzeichen"/>
          <w:lang w:val="en-GB"/>
        </w:rPr>
        <w:footnoteRef/>
      </w:r>
      <w:r w:rsidRPr="005A7832">
        <w:rPr>
          <w:lang w:val="en-GB"/>
        </w:rPr>
        <w:t xml:space="preserve"> </w:t>
      </w:r>
      <w:r w:rsidRPr="005A7832">
        <w:rPr>
          <w:sz w:val="19"/>
          <w:szCs w:val="19"/>
          <w:lang w:val="en-GB"/>
        </w:rPr>
        <w:t>Eling and</w:t>
      </w:r>
      <w:r w:rsidRPr="005A7832">
        <w:rPr>
          <w:sz w:val="12"/>
          <w:szCs w:val="12"/>
          <w:lang w:val="en-GB"/>
        </w:rPr>
        <w:t xml:space="preserve"> </w:t>
      </w:r>
      <w:r w:rsidRPr="005A7832">
        <w:rPr>
          <w:sz w:val="19"/>
          <w:szCs w:val="19"/>
          <w:lang w:val="en-GB"/>
        </w:rPr>
        <w:t xml:space="preserve">Pankoke (n </w:t>
      </w:r>
      <w:r w:rsidRPr="005A7832">
        <w:rPr>
          <w:sz w:val="19"/>
          <w:szCs w:val="19"/>
          <w:lang w:val="en-GB"/>
        </w:rPr>
        <w:fldChar w:fldCharType="begin"/>
      </w:r>
      <w:r w:rsidRPr="005A7832">
        <w:rPr>
          <w:sz w:val="19"/>
          <w:szCs w:val="19"/>
          <w:lang w:val="en-GB"/>
        </w:rPr>
        <w:instrText xml:space="preserve"> NOTEREF _Ref404000920 \h  \* MERGEFORMAT </w:instrText>
      </w:r>
      <w:r w:rsidRPr="005A7832">
        <w:rPr>
          <w:sz w:val="19"/>
          <w:szCs w:val="19"/>
          <w:lang w:val="en-GB"/>
        </w:rPr>
      </w:r>
      <w:r w:rsidRPr="005A7832">
        <w:rPr>
          <w:sz w:val="19"/>
          <w:szCs w:val="19"/>
          <w:lang w:val="en-GB"/>
        </w:rPr>
        <w:fldChar w:fldCharType="separate"/>
      </w:r>
      <w:r w:rsidR="003C0B81">
        <w:rPr>
          <w:sz w:val="19"/>
          <w:szCs w:val="19"/>
          <w:lang w:val="en-GB"/>
        </w:rPr>
        <w:t>12</w:t>
      </w:r>
      <w:r w:rsidRPr="005A7832">
        <w:rPr>
          <w:sz w:val="19"/>
          <w:szCs w:val="19"/>
          <w:lang w:val="en-GB"/>
        </w:rPr>
        <w:fldChar w:fldCharType="end"/>
      </w:r>
      <w:r w:rsidRPr="005A7832">
        <w:rPr>
          <w:sz w:val="19"/>
          <w:szCs w:val="19"/>
          <w:lang w:val="en-GB"/>
        </w:rPr>
        <w:t xml:space="preserve">) 44-45. </w:t>
      </w:r>
    </w:p>
  </w:footnote>
  <w:footnote w:id="38">
    <w:p w:rsidR="007B1D1A" w:rsidRPr="005A7832" w:rsidRDefault="007B1D1A">
      <w:pPr>
        <w:pStyle w:val="Funotentext"/>
        <w:rPr>
          <w:lang w:val="en-GB"/>
        </w:rPr>
      </w:pPr>
      <w:r w:rsidRPr="005A7832">
        <w:rPr>
          <w:rStyle w:val="Funotenzeichen"/>
          <w:lang w:val="en-GB"/>
        </w:rPr>
        <w:footnoteRef/>
      </w:r>
      <w:r w:rsidRPr="005A7832">
        <w:rPr>
          <w:lang w:val="en-GB"/>
        </w:rPr>
        <w:t xml:space="preserve"> PWC (n </w:t>
      </w:r>
      <w:r w:rsidRPr="005A7832">
        <w:rPr>
          <w:lang w:val="en-GB"/>
        </w:rPr>
        <w:fldChar w:fldCharType="begin"/>
      </w:r>
      <w:r w:rsidRPr="005A7832">
        <w:rPr>
          <w:lang w:val="en-GB"/>
        </w:rPr>
        <w:instrText xml:space="preserve"> NOTEREF _Ref404088590 \h  \* MERGEFORMAT </w:instrText>
      </w:r>
      <w:r w:rsidRPr="005A7832">
        <w:rPr>
          <w:lang w:val="en-GB"/>
        </w:rPr>
      </w:r>
      <w:r w:rsidRPr="005A7832">
        <w:rPr>
          <w:lang w:val="en-GB"/>
        </w:rPr>
        <w:fldChar w:fldCharType="separate"/>
      </w:r>
      <w:r w:rsidR="003C0B81">
        <w:rPr>
          <w:lang w:val="en-GB"/>
        </w:rPr>
        <w:t>14</w:t>
      </w:r>
      <w:r w:rsidRPr="005A7832">
        <w:rPr>
          <w:lang w:val="en-GB"/>
        </w:rPr>
        <w:fldChar w:fldCharType="end"/>
      </w:r>
      <w:r w:rsidRPr="005A7832">
        <w:rPr>
          <w:lang w:val="en-GB"/>
        </w:rPr>
        <w:t xml:space="preserve">) 14.  </w:t>
      </w:r>
    </w:p>
  </w:footnote>
  <w:footnote w:id="39">
    <w:p w:rsidR="004D1BEF" w:rsidRPr="004D1BEF" w:rsidRDefault="004D1BEF">
      <w:pPr>
        <w:pStyle w:val="Funotentext"/>
        <w:rPr>
          <w:lang w:val="en-US"/>
        </w:rPr>
      </w:pPr>
      <w:r>
        <w:rPr>
          <w:rStyle w:val="Funotenzeichen"/>
        </w:rPr>
        <w:footnoteRef/>
      </w:r>
      <w:r>
        <w:t xml:space="preserve"> </w:t>
      </w:r>
      <w:r w:rsidRPr="004D1BEF">
        <w:rPr>
          <w:lang w:val="en-US"/>
        </w:rPr>
        <w:t>The counterparty default risk (Solvency II art 105(6)) is largely affected by the rating of insurers</w:t>
      </w:r>
      <w:r w:rsidR="00DF2040">
        <w:rPr>
          <w:lang w:val="en-US"/>
        </w:rPr>
        <w:t xml:space="preserve">’ </w:t>
      </w:r>
      <w:r w:rsidR="00DF2040" w:rsidRPr="004D1BEF">
        <w:rPr>
          <w:lang w:val="en-US"/>
        </w:rPr>
        <w:t>counterparties</w:t>
      </w:r>
      <w:r w:rsidRPr="004D1BEF">
        <w:rPr>
          <w:lang w:val="en-US"/>
        </w:rPr>
        <w:t xml:space="preserve">. </w:t>
      </w:r>
      <w:r>
        <w:rPr>
          <w:lang w:val="en-US"/>
        </w:rPr>
        <w:t xml:space="preserve">See: </w:t>
      </w:r>
      <w:r w:rsidRPr="004D1BEF">
        <w:rPr>
          <w:lang w:val="en-US"/>
        </w:rPr>
        <w:t xml:space="preserve">Swiss Re, </w:t>
      </w:r>
      <w:r w:rsidR="000F68E7">
        <w:rPr>
          <w:lang w:val="en-US"/>
        </w:rPr>
        <w:t>‘</w:t>
      </w:r>
      <w:r w:rsidRPr="004D1BEF">
        <w:rPr>
          <w:lang w:val="en-US"/>
        </w:rPr>
        <w:t>What do you know about Solvency II? High-level introduction for intereste</w:t>
      </w:r>
      <w:r>
        <w:rPr>
          <w:lang w:val="en-US"/>
        </w:rPr>
        <w:t>d parties from Non-EU regions</w:t>
      </w:r>
      <w:r w:rsidR="000F68E7">
        <w:rPr>
          <w:lang w:val="en-US"/>
        </w:rPr>
        <w:t>’</w:t>
      </w:r>
      <w:r>
        <w:rPr>
          <w:lang w:val="en-US"/>
        </w:rPr>
        <w:t xml:space="preserve"> (</w:t>
      </w:r>
      <w:r w:rsidRPr="004D1BEF">
        <w:rPr>
          <w:lang w:val="en-US"/>
        </w:rPr>
        <w:t>2013)</w:t>
      </w:r>
      <w:r w:rsidR="0011678A">
        <w:rPr>
          <w:lang w:val="en-US"/>
        </w:rPr>
        <w:t xml:space="preserve"> 18</w:t>
      </w:r>
      <w:r w:rsidR="003C2C89">
        <w:rPr>
          <w:lang w:val="en-US"/>
        </w:rPr>
        <w:t xml:space="preserve"> for the analysis of </w:t>
      </w:r>
      <w:r w:rsidR="00527004">
        <w:rPr>
          <w:lang w:val="en-US"/>
        </w:rPr>
        <w:t xml:space="preserve">a </w:t>
      </w:r>
      <w:r w:rsidR="003C2C89">
        <w:rPr>
          <w:lang w:val="en-US"/>
        </w:rPr>
        <w:t xml:space="preserve">relationship between the rating of reinsurers and </w:t>
      </w:r>
      <w:r w:rsidR="00A22EE3">
        <w:rPr>
          <w:lang w:val="en-US"/>
        </w:rPr>
        <w:t xml:space="preserve">the </w:t>
      </w:r>
      <w:r w:rsidR="003C2C89">
        <w:rPr>
          <w:lang w:val="en-US"/>
        </w:rPr>
        <w:t>SCR</w:t>
      </w:r>
      <w:r w:rsidR="0011678A">
        <w:rPr>
          <w:lang w:val="en-US"/>
        </w:rPr>
        <w:t>.</w:t>
      </w:r>
    </w:p>
  </w:footnote>
  <w:footnote w:id="40">
    <w:p w:rsidR="00E63FF5" w:rsidRPr="005A7832" w:rsidRDefault="00E63FF5" w:rsidP="00E63FF5">
      <w:pPr>
        <w:pStyle w:val="Funotentext"/>
        <w:rPr>
          <w:lang w:val="en-GB"/>
        </w:rPr>
      </w:pPr>
      <w:r w:rsidRPr="005A7832">
        <w:rPr>
          <w:rStyle w:val="Funotenzeichen"/>
          <w:lang w:val="en-GB"/>
        </w:rPr>
        <w:footnoteRef/>
      </w:r>
      <w:r w:rsidRPr="005A7832">
        <w:rPr>
          <w:lang w:val="en-GB"/>
        </w:rPr>
        <w:t xml:space="preserve"> </w:t>
      </w:r>
      <w:r w:rsidRPr="005A7832">
        <w:rPr>
          <w:sz w:val="19"/>
          <w:szCs w:val="19"/>
          <w:lang w:val="en-GB"/>
        </w:rPr>
        <w:t>Eling and</w:t>
      </w:r>
      <w:r w:rsidRPr="005A7832">
        <w:rPr>
          <w:sz w:val="12"/>
          <w:szCs w:val="12"/>
          <w:lang w:val="en-GB"/>
        </w:rPr>
        <w:t xml:space="preserve"> </w:t>
      </w:r>
      <w:r w:rsidRPr="005A7832">
        <w:rPr>
          <w:sz w:val="19"/>
          <w:szCs w:val="19"/>
          <w:lang w:val="en-GB"/>
        </w:rPr>
        <w:t xml:space="preserve">Pankoke (n </w:t>
      </w:r>
      <w:r w:rsidRPr="005A7832">
        <w:rPr>
          <w:sz w:val="19"/>
          <w:szCs w:val="19"/>
          <w:lang w:val="en-GB"/>
        </w:rPr>
        <w:fldChar w:fldCharType="begin"/>
      </w:r>
      <w:r w:rsidRPr="005A7832">
        <w:rPr>
          <w:sz w:val="19"/>
          <w:szCs w:val="19"/>
          <w:lang w:val="en-GB"/>
        </w:rPr>
        <w:instrText xml:space="preserve"> NOTEREF _Ref404000920 \h  \* MERGEFORMAT </w:instrText>
      </w:r>
      <w:r w:rsidRPr="005A7832">
        <w:rPr>
          <w:sz w:val="19"/>
          <w:szCs w:val="19"/>
          <w:lang w:val="en-GB"/>
        </w:rPr>
      </w:r>
      <w:r w:rsidRPr="005A7832">
        <w:rPr>
          <w:sz w:val="19"/>
          <w:szCs w:val="19"/>
          <w:lang w:val="en-GB"/>
        </w:rPr>
        <w:fldChar w:fldCharType="separate"/>
      </w:r>
      <w:r w:rsidR="003C0B81">
        <w:rPr>
          <w:sz w:val="19"/>
          <w:szCs w:val="19"/>
          <w:lang w:val="en-GB"/>
        </w:rPr>
        <w:t>12</w:t>
      </w:r>
      <w:r w:rsidRPr="005A7832">
        <w:rPr>
          <w:sz w:val="19"/>
          <w:szCs w:val="19"/>
          <w:lang w:val="en-GB"/>
        </w:rPr>
        <w:fldChar w:fldCharType="end"/>
      </w:r>
      <w:r w:rsidRPr="005A7832">
        <w:rPr>
          <w:sz w:val="19"/>
          <w:szCs w:val="19"/>
          <w:lang w:val="en-GB"/>
        </w:rPr>
        <w:t xml:space="preserve">). </w:t>
      </w:r>
    </w:p>
  </w:footnote>
  <w:footnote w:id="41">
    <w:p w:rsidR="007B1D1A" w:rsidRPr="005A7832" w:rsidRDefault="007B1D1A">
      <w:pPr>
        <w:pStyle w:val="Funotentext"/>
        <w:rPr>
          <w:lang w:val="en-GB"/>
        </w:rPr>
      </w:pPr>
      <w:r w:rsidRPr="005A7832">
        <w:rPr>
          <w:rStyle w:val="Funotenzeichen"/>
          <w:lang w:val="en-GB"/>
        </w:rPr>
        <w:footnoteRef/>
      </w:r>
      <w:r w:rsidRPr="005A7832">
        <w:rPr>
          <w:lang w:val="en-GB"/>
        </w:rPr>
        <w:t xml:space="preserve"> Endres and de Galhau (n </w:t>
      </w:r>
      <w:r w:rsidRPr="005A7832">
        <w:rPr>
          <w:lang w:val="en-GB"/>
        </w:rPr>
        <w:fldChar w:fldCharType="begin"/>
      </w:r>
      <w:r w:rsidRPr="005A7832">
        <w:rPr>
          <w:lang w:val="en-GB"/>
        </w:rPr>
        <w:instrText xml:space="preserve"> NOTEREF _Ref404093713 \h  \* MERGEFORMAT </w:instrText>
      </w:r>
      <w:r w:rsidRPr="005A7832">
        <w:rPr>
          <w:lang w:val="en-GB"/>
        </w:rPr>
      </w:r>
      <w:r w:rsidRPr="005A7832">
        <w:rPr>
          <w:lang w:val="en-GB"/>
        </w:rPr>
        <w:fldChar w:fldCharType="separate"/>
      </w:r>
      <w:r w:rsidR="003C0B81">
        <w:rPr>
          <w:lang w:val="en-GB"/>
        </w:rPr>
        <w:t>9</w:t>
      </w:r>
      <w:r w:rsidRPr="005A7832">
        <w:rPr>
          <w:lang w:val="en-GB"/>
        </w:rPr>
        <w:fldChar w:fldCharType="end"/>
      </w:r>
      <w:r w:rsidRPr="005A7832">
        <w:rPr>
          <w:lang w:val="en-GB"/>
        </w:rPr>
        <w:t>).</w:t>
      </w:r>
    </w:p>
  </w:footnote>
  <w:footnote w:id="42">
    <w:p w:rsidR="0080053F" w:rsidRPr="0080053F" w:rsidRDefault="0080053F">
      <w:pPr>
        <w:pStyle w:val="Funotentext"/>
        <w:rPr>
          <w:lang w:val="en-US"/>
        </w:rPr>
      </w:pPr>
      <w:r>
        <w:rPr>
          <w:rStyle w:val="Funotenzeichen"/>
        </w:rPr>
        <w:footnoteRef/>
      </w:r>
      <w:r>
        <w:t xml:space="preserve"> </w:t>
      </w:r>
      <w:r w:rsidRPr="007077D8">
        <w:rPr>
          <w:lang w:val="en-US"/>
        </w:rPr>
        <w:t>Labes H</w:t>
      </w:r>
      <w:r>
        <w:rPr>
          <w:lang w:val="en-US"/>
        </w:rPr>
        <w:t xml:space="preserve"> (n </w:t>
      </w:r>
      <w:r>
        <w:rPr>
          <w:lang w:val="en-US"/>
        </w:rPr>
        <w:fldChar w:fldCharType="begin"/>
      </w:r>
      <w:r>
        <w:rPr>
          <w:lang w:val="en-US"/>
        </w:rPr>
        <w:instrText xml:space="preserve"> NOTEREF _Ref416273873 \h </w:instrText>
      </w:r>
      <w:r>
        <w:rPr>
          <w:lang w:val="en-US"/>
        </w:rPr>
      </w:r>
      <w:r>
        <w:rPr>
          <w:lang w:val="en-US"/>
        </w:rPr>
        <w:fldChar w:fldCharType="separate"/>
      </w:r>
      <w:r w:rsidR="003C0B81">
        <w:rPr>
          <w:lang w:val="en-US"/>
        </w:rPr>
        <w:t>34</w:t>
      </w:r>
      <w:r>
        <w:rPr>
          <w:lang w:val="en-US"/>
        </w:rPr>
        <w:fldChar w:fldCharType="end"/>
      </w:r>
      <w:r>
        <w:rPr>
          <w:lang w:val="en-US"/>
        </w:rPr>
        <w:t xml:space="preserve">). </w:t>
      </w:r>
    </w:p>
  </w:footnote>
  <w:footnote w:id="43">
    <w:p w:rsidR="00E63FF5" w:rsidRPr="005A7832" w:rsidRDefault="00E63FF5" w:rsidP="00E63FF5">
      <w:pPr>
        <w:pStyle w:val="Funotentext"/>
        <w:rPr>
          <w:lang w:val="en-GB"/>
        </w:rPr>
      </w:pPr>
      <w:r w:rsidRPr="005A7832">
        <w:rPr>
          <w:rStyle w:val="Funotenzeichen"/>
          <w:lang w:val="en-GB"/>
        </w:rPr>
        <w:footnoteRef/>
      </w:r>
      <w:r w:rsidRPr="005A7832">
        <w:rPr>
          <w:lang w:val="en-GB"/>
        </w:rPr>
        <w:t xml:space="preserve"> PWC (n </w:t>
      </w:r>
      <w:r w:rsidRPr="005A7832">
        <w:rPr>
          <w:lang w:val="en-GB"/>
        </w:rPr>
        <w:fldChar w:fldCharType="begin"/>
      </w:r>
      <w:r w:rsidRPr="005A7832">
        <w:rPr>
          <w:lang w:val="en-GB"/>
        </w:rPr>
        <w:instrText xml:space="preserve"> NOTEREF _Ref404088590 \h  \* MERGEFORMAT </w:instrText>
      </w:r>
      <w:r w:rsidRPr="005A7832">
        <w:rPr>
          <w:lang w:val="en-GB"/>
        </w:rPr>
      </w:r>
      <w:r w:rsidRPr="005A7832">
        <w:rPr>
          <w:lang w:val="en-GB"/>
        </w:rPr>
        <w:fldChar w:fldCharType="separate"/>
      </w:r>
      <w:r w:rsidR="003C0B81">
        <w:rPr>
          <w:lang w:val="en-GB"/>
        </w:rPr>
        <w:t>14</w:t>
      </w:r>
      <w:r w:rsidRPr="005A7832">
        <w:rPr>
          <w:lang w:val="en-GB"/>
        </w:rPr>
        <w:fldChar w:fldCharType="end"/>
      </w:r>
      <w:r w:rsidRPr="005A7832">
        <w:rPr>
          <w:lang w:val="en-GB"/>
        </w:rPr>
        <w:t xml:space="preserve">) 18. </w:t>
      </w:r>
    </w:p>
  </w:footnote>
  <w:footnote w:id="44">
    <w:p w:rsidR="007B1D1A" w:rsidRPr="005A7832" w:rsidRDefault="007B1D1A">
      <w:pPr>
        <w:pStyle w:val="Funotentext"/>
        <w:rPr>
          <w:lang w:val="en-GB"/>
        </w:rPr>
      </w:pPr>
      <w:r w:rsidRPr="005A7832">
        <w:rPr>
          <w:rStyle w:val="Funotenzeichen"/>
          <w:lang w:val="en-GB"/>
        </w:rPr>
        <w:footnoteRef/>
      </w:r>
      <w:r w:rsidRPr="005A7832">
        <w:rPr>
          <w:lang w:val="en-GB"/>
        </w:rPr>
        <w:t xml:space="preserve"> </w:t>
      </w:r>
      <w:r w:rsidR="00A9547E">
        <w:rPr>
          <w:lang w:val="en-GB"/>
        </w:rPr>
        <w:t>Solvency</w:t>
      </w:r>
      <w:r w:rsidRPr="005A7832">
        <w:rPr>
          <w:lang w:val="en-GB"/>
        </w:rPr>
        <w:t xml:space="preserve"> </w:t>
      </w:r>
      <w:r w:rsidR="00A9547E">
        <w:rPr>
          <w:lang w:val="en-GB"/>
        </w:rPr>
        <w:t>II</w:t>
      </w:r>
      <w:r w:rsidR="00E85774">
        <w:rPr>
          <w:lang w:val="en-GB"/>
        </w:rPr>
        <w:t xml:space="preserve"> (n </w:t>
      </w:r>
      <w:r w:rsidR="00E85774">
        <w:rPr>
          <w:lang w:val="en-GB"/>
        </w:rPr>
        <w:fldChar w:fldCharType="begin"/>
      </w:r>
      <w:r w:rsidR="00E85774">
        <w:rPr>
          <w:lang w:val="en-GB"/>
        </w:rPr>
        <w:instrText xml:space="preserve"> NOTEREF _Ref419296104 \h </w:instrText>
      </w:r>
      <w:r w:rsidR="00E85774">
        <w:rPr>
          <w:lang w:val="en-GB"/>
        </w:rPr>
      </w:r>
      <w:r w:rsidR="00E85774">
        <w:rPr>
          <w:lang w:val="en-GB"/>
        </w:rPr>
        <w:fldChar w:fldCharType="separate"/>
      </w:r>
      <w:r w:rsidR="00E85774">
        <w:rPr>
          <w:lang w:val="en-GB"/>
        </w:rPr>
        <w:t>3</w:t>
      </w:r>
      <w:r w:rsidR="00E85774">
        <w:rPr>
          <w:lang w:val="en-GB"/>
        </w:rPr>
        <w:fldChar w:fldCharType="end"/>
      </w:r>
      <w:r w:rsidR="00E85774">
        <w:rPr>
          <w:lang w:val="en-GB"/>
        </w:rPr>
        <w:t xml:space="preserve">) </w:t>
      </w:r>
      <w:r w:rsidRPr="005A7832">
        <w:rPr>
          <w:lang w:val="en-GB"/>
        </w:rPr>
        <w:t xml:space="preserve">art 45(7). </w:t>
      </w:r>
    </w:p>
  </w:footnote>
  <w:footnote w:id="45">
    <w:p w:rsidR="007B1D1A" w:rsidRPr="005A7832" w:rsidRDefault="007B1D1A">
      <w:pPr>
        <w:pStyle w:val="Funotentext"/>
        <w:rPr>
          <w:lang w:val="en-GB"/>
        </w:rPr>
      </w:pPr>
      <w:r w:rsidRPr="005A7832">
        <w:rPr>
          <w:rStyle w:val="Funotenzeichen"/>
          <w:lang w:val="en-GB"/>
        </w:rPr>
        <w:footnoteRef/>
      </w:r>
      <w:r w:rsidRPr="005A7832">
        <w:rPr>
          <w:lang w:val="en-GB"/>
        </w:rPr>
        <w:t xml:space="preserve"> Solvency II Wire</w:t>
      </w:r>
      <w:r w:rsidR="002223D7">
        <w:rPr>
          <w:lang w:val="en-GB"/>
        </w:rPr>
        <w:t>,</w:t>
      </w:r>
      <w:r w:rsidRPr="005A7832">
        <w:rPr>
          <w:lang w:val="en-GB"/>
        </w:rPr>
        <w:t xml:space="preserve"> </w:t>
      </w:r>
      <w:r w:rsidR="002223D7" w:rsidRPr="002223D7">
        <w:rPr>
          <w:lang w:val="en-GB"/>
        </w:rPr>
        <w:t>Regular Meeting Group report</w:t>
      </w:r>
      <w:r w:rsidR="002223D7">
        <w:rPr>
          <w:lang w:val="en-GB"/>
        </w:rPr>
        <w:t xml:space="preserve"> &lt;</w:t>
      </w:r>
      <w:r w:rsidR="002223D7" w:rsidRPr="002223D7">
        <w:rPr>
          <w:lang w:val="en-GB"/>
        </w:rPr>
        <w:t>www.solvencyiiwire.com/solvency-ii-wire-regular-meeting-group-report-october-2014</w:t>
      </w:r>
      <w:r w:rsidR="002223D7">
        <w:rPr>
          <w:lang w:val="en-GB"/>
        </w:rPr>
        <w:t xml:space="preserve">&gt; accessed </w:t>
      </w:r>
      <w:r w:rsidR="00992BD4">
        <w:rPr>
          <w:lang w:val="en-GB"/>
        </w:rPr>
        <w:t>March</w:t>
      </w:r>
      <w:r w:rsidR="002223D7" w:rsidRPr="002223D7">
        <w:rPr>
          <w:lang w:val="en-GB"/>
        </w:rPr>
        <w:t xml:space="preserve"> 4 201</w:t>
      </w:r>
      <w:r w:rsidR="00992BD4">
        <w:rPr>
          <w:lang w:val="en-GB"/>
        </w:rPr>
        <w:t>5</w:t>
      </w:r>
      <w:r w:rsidR="002223D7">
        <w:rPr>
          <w:lang w:val="en-GB"/>
        </w:rPr>
        <w:t>.</w:t>
      </w:r>
    </w:p>
  </w:footnote>
  <w:footnote w:id="46">
    <w:p w:rsidR="007B1D1A" w:rsidRPr="005A7832" w:rsidRDefault="007B1D1A" w:rsidP="001467D2">
      <w:pPr>
        <w:pStyle w:val="Funotentext"/>
        <w:rPr>
          <w:lang w:val="en-GB"/>
        </w:rPr>
      </w:pPr>
      <w:r w:rsidRPr="005A7832">
        <w:rPr>
          <w:rStyle w:val="Funotenzeichen"/>
          <w:lang w:val="en-GB"/>
        </w:rPr>
        <w:footnoteRef/>
      </w:r>
      <w:r w:rsidRPr="005A7832">
        <w:rPr>
          <w:lang w:val="en-GB"/>
        </w:rPr>
        <w:t xml:space="preserve"> EIOPA </w:t>
      </w:r>
      <w:r w:rsidR="008D2CCB">
        <w:rPr>
          <w:lang w:val="en-GB"/>
        </w:rPr>
        <w:t>‘</w:t>
      </w:r>
      <w:r w:rsidR="001467D2" w:rsidRPr="001467D2">
        <w:rPr>
          <w:lang w:val="en-GB"/>
        </w:rPr>
        <w:t>Final Report</w:t>
      </w:r>
      <w:r w:rsidR="001467D2">
        <w:rPr>
          <w:lang w:val="en-GB"/>
        </w:rPr>
        <w:t xml:space="preserve"> </w:t>
      </w:r>
      <w:r w:rsidR="001467D2" w:rsidRPr="001467D2">
        <w:rPr>
          <w:lang w:val="en-GB"/>
        </w:rPr>
        <w:t>on</w:t>
      </w:r>
      <w:r w:rsidR="001467D2">
        <w:rPr>
          <w:lang w:val="en-GB"/>
        </w:rPr>
        <w:t xml:space="preserve"> </w:t>
      </w:r>
      <w:r w:rsidR="001467D2" w:rsidRPr="001467D2">
        <w:rPr>
          <w:lang w:val="en-GB"/>
        </w:rPr>
        <w:t>Public Consultation No. 14/017 on</w:t>
      </w:r>
      <w:r w:rsidR="001467D2">
        <w:rPr>
          <w:lang w:val="en-GB"/>
        </w:rPr>
        <w:t xml:space="preserve"> </w:t>
      </w:r>
      <w:r w:rsidR="001467D2" w:rsidRPr="001467D2">
        <w:rPr>
          <w:lang w:val="en-GB"/>
        </w:rPr>
        <w:t>Guidelines on</w:t>
      </w:r>
      <w:r w:rsidR="001467D2">
        <w:rPr>
          <w:lang w:val="en-GB"/>
        </w:rPr>
        <w:t xml:space="preserve"> </w:t>
      </w:r>
      <w:r w:rsidR="001467D2" w:rsidRPr="001467D2">
        <w:rPr>
          <w:lang w:val="en-GB"/>
        </w:rPr>
        <w:t>own risk and solvency assessment</w:t>
      </w:r>
      <w:r w:rsidRPr="005A7832">
        <w:rPr>
          <w:lang w:val="en-GB"/>
        </w:rPr>
        <w:t>’ (201</w:t>
      </w:r>
      <w:r w:rsidR="001467D2">
        <w:rPr>
          <w:lang w:val="en-GB"/>
        </w:rPr>
        <w:t>5</w:t>
      </w:r>
      <w:r w:rsidRPr="005A7832">
        <w:rPr>
          <w:lang w:val="en-GB"/>
        </w:rPr>
        <w:t>), EIOPA-</w:t>
      </w:r>
      <w:r w:rsidR="001467D2">
        <w:t>BoS-14/259</w:t>
      </w:r>
      <w:r w:rsidRPr="005A7832">
        <w:rPr>
          <w:lang w:val="en-GB"/>
        </w:rPr>
        <w:t xml:space="preserve">. </w:t>
      </w:r>
    </w:p>
  </w:footnote>
  <w:footnote w:id="47">
    <w:p w:rsidR="007B1D1A" w:rsidRPr="005A7832" w:rsidRDefault="007B1D1A">
      <w:pPr>
        <w:pStyle w:val="Funotentext"/>
        <w:rPr>
          <w:lang w:val="en-GB"/>
        </w:rPr>
      </w:pPr>
      <w:r w:rsidRPr="005A7832">
        <w:rPr>
          <w:rStyle w:val="Funotenzeichen"/>
          <w:lang w:val="en-GB"/>
        </w:rPr>
        <w:footnoteRef/>
      </w:r>
      <w:r w:rsidRPr="005A7832">
        <w:rPr>
          <w:lang w:val="en-GB"/>
        </w:rPr>
        <w:t xml:space="preserve"> Solvency II </w:t>
      </w:r>
      <w:r w:rsidR="005D2D17">
        <w:rPr>
          <w:lang w:val="en-GB"/>
        </w:rPr>
        <w:t xml:space="preserve">(n </w:t>
      </w:r>
      <w:r w:rsidR="005D2D17">
        <w:rPr>
          <w:lang w:val="en-GB"/>
        </w:rPr>
        <w:fldChar w:fldCharType="begin"/>
      </w:r>
      <w:r w:rsidR="005D2D17">
        <w:rPr>
          <w:lang w:val="en-GB"/>
        </w:rPr>
        <w:instrText xml:space="preserve"> NOTEREF _Ref419296104 \h </w:instrText>
      </w:r>
      <w:r w:rsidR="005D2D17">
        <w:rPr>
          <w:lang w:val="en-GB"/>
        </w:rPr>
      </w:r>
      <w:r w:rsidR="005D2D17">
        <w:rPr>
          <w:lang w:val="en-GB"/>
        </w:rPr>
        <w:fldChar w:fldCharType="separate"/>
      </w:r>
      <w:r w:rsidR="005D2D17">
        <w:rPr>
          <w:lang w:val="en-GB"/>
        </w:rPr>
        <w:t>3</w:t>
      </w:r>
      <w:r w:rsidR="005D2D17">
        <w:rPr>
          <w:lang w:val="en-GB"/>
        </w:rPr>
        <w:fldChar w:fldCharType="end"/>
      </w:r>
      <w:r w:rsidR="005D2D17">
        <w:rPr>
          <w:lang w:val="en-GB"/>
        </w:rPr>
        <w:t xml:space="preserve">) </w:t>
      </w:r>
      <w:r w:rsidRPr="005A7832">
        <w:rPr>
          <w:lang w:val="en-GB"/>
        </w:rPr>
        <w:t xml:space="preserve">art 36(1).       </w:t>
      </w:r>
    </w:p>
  </w:footnote>
  <w:footnote w:id="48">
    <w:p w:rsidR="007B1D1A" w:rsidRPr="005A7832" w:rsidRDefault="007B1D1A">
      <w:pPr>
        <w:pStyle w:val="Funotentext"/>
        <w:rPr>
          <w:lang w:val="en-GB"/>
        </w:rPr>
      </w:pPr>
      <w:r w:rsidRPr="005A7832">
        <w:rPr>
          <w:rStyle w:val="Funotenzeichen"/>
          <w:lang w:val="en-GB"/>
        </w:rPr>
        <w:footnoteRef/>
      </w:r>
      <w:r w:rsidRPr="005A7832">
        <w:rPr>
          <w:lang w:val="en-GB"/>
        </w:rPr>
        <w:t xml:space="preserve"> ibid art 36(2)(b), (c). </w:t>
      </w:r>
    </w:p>
  </w:footnote>
  <w:footnote w:id="49">
    <w:p w:rsidR="007B1D1A" w:rsidRPr="005A7832" w:rsidRDefault="007B1D1A">
      <w:pPr>
        <w:pStyle w:val="Funotentext"/>
        <w:rPr>
          <w:lang w:val="en-GB"/>
        </w:rPr>
      </w:pPr>
      <w:r w:rsidRPr="005A7832">
        <w:rPr>
          <w:rStyle w:val="Funotenzeichen"/>
          <w:lang w:val="en-GB"/>
        </w:rPr>
        <w:footnoteRef/>
      </w:r>
      <w:r w:rsidRPr="005A7832">
        <w:rPr>
          <w:lang w:val="en-GB"/>
        </w:rPr>
        <w:t xml:space="preserve"> ibid art 37. </w:t>
      </w:r>
    </w:p>
  </w:footnote>
  <w:footnote w:id="50">
    <w:p w:rsidR="007B1D1A" w:rsidRPr="005A7832" w:rsidRDefault="007B1D1A">
      <w:pPr>
        <w:pStyle w:val="Funotentext"/>
        <w:rPr>
          <w:lang w:val="en-GB"/>
        </w:rPr>
      </w:pPr>
      <w:r w:rsidRPr="005A7832">
        <w:rPr>
          <w:rStyle w:val="Funotenzeichen"/>
          <w:lang w:val="en-GB"/>
        </w:rPr>
        <w:footnoteRef/>
      </w:r>
      <w:r w:rsidRPr="005A7832">
        <w:rPr>
          <w:lang w:val="en-GB"/>
        </w:rPr>
        <w:t xml:space="preserve"> ibid art 35. </w:t>
      </w:r>
    </w:p>
  </w:footnote>
  <w:footnote w:id="51">
    <w:p w:rsidR="007B1D1A" w:rsidRPr="005A7832" w:rsidRDefault="007B1D1A">
      <w:pPr>
        <w:pStyle w:val="Funotentext"/>
        <w:rPr>
          <w:lang w:val="en-GB"/>
        </w:rPr>
      </w:pPr>
      <w:r w:rsidRPr="005A7832">
        <w:rPr>
          <w:rStyle w:val="Funotenzeichen"/>
          <w:lang w:val="en-GB"/>
        </w:rPr>
        <w:footnoteRef/>
      </w:r>
      <w:r w:rsidRPr="005A7832">
        <w:rPr>
          <w:lang w:val="en-GB"/>
        </w:rPr>
        <w:t xml:space="preserve"> ibid art 51(1). </w:t>
      </w:r>
    </w:p>
  </w:footnote>
  <w:footnote w:id="52">
    <w:p w:rsidR="007B1D1A" w:rsidRPr="005A7832" w:rsidRDefault="007B1D1A">
      <w:pPr>
        <w:pStyle w:val="Funotentext"/>
        <w:rPr>
          <w:lang w:val="en-GB"/>
        </w:rPr>
      </w:pPr>
      <w:r w:rsidRPr="005A7832">
        <w:rPr>
          <w:rStyle w:val="Funotenzeichen"/>
          <w:lang w:val="en-GB"/>
        </w:rPr>
        <w:footnoteRef/>
      </w:r>
      <w:r w:rsidRPr="005A7832">
        <w:rPr>
          <w:lang w:val="en-GB"/>
        </w:rPr>
        <w:t xml:space="preserve"> PWC (n </w:t>
      </w:r>
      <w:r w:rsidRPr="005A7832">
        <w:rPr>
          <w:lang w:val="en-GB"/>
        </w:rPr>
        <w:fldChar w:fldCharType="begin"/>
      </w:r>
      <w:r w:rsidRPr="005A7832">
        <w:rPr>
          <w:lang w:val="en-GB"/>
        </w:rPr>
        <w:instrText xml:space="preserve"> NOTEREF _Ref404088590 \h  \* MERGEFORMAT </w:instrText>
      </w:r>
      <w:r w:rsidRPr="005A7832">
        <w:rPr>
          <w:lang w:val="en-GB"/>
        </w:rPr>
      </w:r>
      <w:r w:rsidRPr="005A7832">
        <w:rPr>
          <w:lang w:val="en-GB"/>
        </w:rPr>
        <w:fldChar w:fldCharType="separate"/>
      </w:r>
      <w:r w:rsidR="003C0B81">
        <w:rPr>
          <w:lang w:val="en-GB"/>
        </w:rPr>
        <w:t>14</w:t>
      </w:r>
      <w:r w:rsidRPr="005A7832">
        <w:rPr>
          <w:lang w:val="en-GB"/>
        </w:rPr>
        <w:fldChar w:fldCharType="end"/>
      </w:r>
      <w:r w:rsidRPr="005A7832">
        <w:rPr>
          <w:lang w:val="en-GB"/>
        </w:rPr>
        <w:t xml:space="preserve">). </w:t>
      </w:r>
    </w:p>
  </w:footnote>
  <w:footnote w:id="53">
    <w:p w:rsidR="007B1D1A" w:rsidRPr="005A7832" w:rsidRDefault="007B1D1A">
      <w:pPr>
        <w:pStyle w:val="Funotentext"/>
        <w:rPr>
          <w:lang w:val="en-GB"/>
        </w:rPr>
      </w:pPr>
      <w:r w:rsidRPr="005A7832">
        <w:rPr>
          <w:rStyle w:val="Funotenzeichen"/>
          <w:lang w:val="en-GB"/>
        </w:rPr>
        <w:footnoteRef/>
      </w:r>
      <w:r w:rsidRPr="005A7832">
        <w:rPr>
          <w:lang w:val="en-GB"/>
        </w:rPr>
        <w:t xml:space="preserve"> Singer</w:t>
      </w:r>
      <w:r w:rsidR="007B7465">
        <w:rPr>
          <w:lang w:val="en-GB"/>
        </w:rPr>
        <w:t xml:space="preserve"> P,</w:t>
      </w:r>
      <w:r w:rsidRPr="005A7832">
        <w:rPr>
          <w:lang w:val="en-GB"/>
        </w:rPr>
        <w:t xml:space="preserve"> ’Solvency II and Run-Off’ (2008) Casualty Actuarial Society &lt;http://www.casact.org/education/spring/2008/handouts/singer2.pdf&gt; accessed 29 </w:t>
      </w:r>
      <w:r w:rsidR="007439D0">
        <w:rPr>
          <w:lang w:val="en-GB"/>
        </w:rPr>
        <w:t>March</w:t>
      </w:r>
      <w:r w:rsidRPr="005A7832">
        <w:rPr>
          <w:lang w:val="en-GB"/>
        </w:rPr>
        <w:t xml:space="preserve"> 201</w:t>
      </w:r>
      <w:r w:rsidR="007439D0">
        <w:rPr>
          <w:lang w:val="en-GB"/>
        </w:rPr>
        <w:t>5</w:t>
      </w:r>
      <w:r w:rsidRPr="005A7832">
        <w:rPr>
          <w:lang w:val="en-GB"/>
        </w:rPr>
        <w:t xml:space="preserve">. </w:t>
      </w:r>
    </w:p>
  </w:footnote>
  <w:footnote w:id="54">
    <w:p w:rsidR="007B1D1A" w:rsidRPr="005A7832" w:rsidRDefault="007B1D1A">
      <w:pPr>
        <w:pStyle w:val="Funotentext"/>
        <w:rPr>
          <w:lang w:val="en-GB"/>
        </w:rPr>
      </w:pPr>
      <w:r w:rsidRPr="005A7832">
        <w:rPr>
          <w:rStyle w:val="Funotenzeichen"/>
          <w:lang w:val="en-GB"/>
        </w:rPr>
        <w:footnoteRef/>
      </w:r>
      <w:r w:rsidRPr="005A7832">
        <w:rPr>
          <w:lang w:val="en-GB"/>
        </w:rPr>
        <w:t xml:space="preserve"> Schiffer L, 'My Reinsurer Is in Runoff. What Do I Do Now?' (2010) IRMI Online, accessed 10 </w:t>
      </w:r>
      <w:r w:rsidR="00C139F3">
        <w:rPr>
          <w:lang w:val="en-GB"/>
        </w:rPr>
        <w:t>April</w:t>
      </w:r>
      <w:r w:rsidRPr="005A7832">
        <w:rPr>
          <w:lang w:val="en-GB"/>
        </w:rPr>
        <w:t xml:space="preserve"> 201</w:t>
      </w:r>
      <w:r w:rsidR="00B17D45">
        <w:rPr>
          <w:lang w:val="en-GB"/>
        </w:rPr>
        <w:t>5</w:t>
      </w:r>
      <w:r w:rsidRPr="005A7832">
        <w:rPr>
          <w:lang w:val="en-GB"/>
        </w:rPr>
        <w:t xml:space="preserve"> &lt;http://www.irmi.com/expert/articles/2010/schiffer06-insurance-reinsurance-law.aspx&gt;.</w:t>
      </w:r>
    </w:p>
  </w:footnote>
  <w:footnote w:id="55">
    <w:p w:rsidR="007B1D1A" w:rsidRPr="005A7832" w:rsidRDefault="007B1D1A">
      <w:pPr>
        <w:pStyle w:val="Funotentext"/>
        <w:rPr>
          <w:lang w:val="en-GB"/>
        </w:rPr>
      </w:pPr>
      <w:r w:rsidRPr="005A7832">
        <w:rPr>
          <w:rStyle w:val="Funotenzeichen"/>
          <w:lang w:val="en-GB"/>
        </w:rPr>
        <w:footnoteRef/>
      </w:r>
      <w:r w:rsidRPr="005A7832">
        <w:rPr>
          <w:lang w:val="en-GB"/>
        </w:rPr>
        <w:t xml:space="preserve"> </w:t>
      </w:r>
      <w:r w:rsidR="00BC5A0C">
        <w:rPr>
          <w:lang w:val="en-GB"/>
        </w:rPr>
        <w:t>Solvency</w:t>
      </w:r>
      <w:r w:rsidRPr="005A7832">
        <w:rPr>
          <w:lang w:val="en-GB"/>
        </w:rPr>
        <w:t xml:space="preserve"> II </w:t>
      </w:r>
      <w:r w:rsidR="006F223E">
        <w:rPr>
          <w:lang w:val="en-GB"/>
        </w:rPr>
        <w:t xml:space="preserve">(n </w:t>
      </w:r>
      <w:r w:rsidR="006F223E">
        <w:rPr>
          <w:lang w:val="en-GB"/>
        </w:rPr>
        <w:fldChar w:fldCharType="begin"/>
      </w:r>
      <w:r w:rsidR="006F223E">
        <w:rPr>
          <w:lang w:val="en-GB"/>
        </w:rPr>
        <w:instrText xml:space="preserve"> NOTEREF _Ref419296104 \h </w:instrText>
      </w:r>
      <w:r w:rsidR="006F223E">
        <w:rPr>
          <w:lang w:val="en-GB"/>
        </w:rPr>
      </w:r>
      <w:r w:rsidR="006F223E">
        <w:rPr>
          <w:lang w:val="en-GB"/>
        </w:rPr>
        <w:fldChar w:fldCharType="separate"/>
      </w:r>
      <w:r w:rsidR="006F223E">
        <w:rPr>
          <w:lang w:val="en-GB"/>
        </w:rPr>
        <w:t>3</w:t>
      </w:r>
      <w:r w:rsidR="006F223E">
        <w:rPr>
          <w:lang w:val="en-GB"/>
        </w:rPr>
        <w:fldChar w:fldCharType="end"/>
      </w:r>
      <w:r w:rsidR="006F223E">
        <w:rPr>
          <w:lang w:val="en-GB"/>
        </w:rPr>
        <w:t xml:space="preserve">) </w:t>
      </w:r>
      <w:r w:rsidRPr="005A7832">
        <w:rPr>
          <w:lang w:val="en-GB"/>
        </w:rPr>
        <w:t xml:space="preserve">art 308b(3).  </w:t>
      </w:r>
    </w:p>
  </w:footnote>
  <w:footnote w:id="56">
    <w:p w:rsidR="007B1D1A" w:rsidRPr="005A7832" w:rsidRDefault="007B1D1A">
      <w:pPr>
        <w:pStyle w:val="Funotentext"/>
        <w:rPr>
          <w:lang w:val="en-GB"/>
        </w:rPr>
      </w:pPr>
      <w:r w:rsidRPr="005A7832">
        <w:rPr>
          <w:rStyle w:val="Funotenzeichen"/>
          <w:lang w:val="en-GB"/>
        </w:rPr>
        <w:footnoteRef/>
      </w:r>
      <w:r w:rsidRPr="005A7832">
        <w:rPr>
          <w:lang w:val="en-GB"/>
        </w:rPr>
        <w:t xml:space="preserve"> Ruxley Ventures, 'Solvency II - Exemption for Run-off Companies - Is It Enough?' (2012)(2) Ruxley Research, accessed 10 </w:t>
      </w:r>
      <w:r w:rsidR="00C139F3">
        <w:rPr>
          <w:lang w:val="en-GB"/>
        </w:rPr>
        <w:t>April</w:t>
      </w:r>
      <w:r w:rsidRPr="005A7832">
        <w:rPr>
          <w:lang w:val="en-GB"/>
        </w:rPr>
        <w:t xml:space="preserve"> 201</w:t>
      </w:r>
      <w:r w:rsidR="00A9249A">
        <w:rPr>
          <w:lang w:val="en-GB"/>
        </w:rPr>
        <w:t>5</w:t>
      </w:r>
      <w:r w:rsidRPr="005A7832">
        <w:rPr>
          <w:lang w:val="en-GB"/>
        </w:rPr>
        <w:t xml:space="preserve"> &lt;http://digi.intellimag.com/?id=ruxleyresearchjanuary12&gt;.</w:t>
      </w:r>
    </w:p>
  </w:footnote>
  <w:footnote w:id="57">
    <w:p w:rsidR="007B1D1A" w:rsidRPr="005A7832" w:rsidRDefault="007B1D1A">
      <w:pPr>
        <w:pStyle w:val="Funotentext"/>
        <w:rPr>
          <w:lang w:val="en-GB"/>
        </w:rPr>
      </w:pPr>
      <w:r w:rsidRPr="005A7832">
        <w:rPr>
          <w:rStyle w:val="Funotenzeichen"/>
          <w:lang w:val="en-GB"/>
        </w:rPr>
        <w:footnoteRef/>
      </w:r>
      <w:r w:rsidRPr="005A7832">
        <w:rPr>
          <w:lang w:val="en-GB"/>
        </w:rPr>
        <w:t xml:space="preserve"> Prudential Regulation Authority, </w:t>
      </w:r>
      <w:r w:rsidRPr="005A7832">
        <w:rPr>
          <w:i/>
          <w:lang w:val="en-GB"/>
        </w:rPr>
        <w:t>Transposition of Solvency II: Part 3</w:t>
      </w:r>
      <w:r w:rsidRPr="005A7832">
        <w:rPr>
          <w:lang w:val="en-GB"/>
        </w:rPr>
        <w:t xml:space="preserve"> (PRA Consultation Paper CP16/14, 2014).</w:t>
      </w:r>
    </w:p>
  </w:footnote>
  <w:footnote w:id="58">
    <w:p w:rsidR="007B1D1A" w:rsidRPr="005A7832" w:rsidRDefault="007B1D1A" w:rsidP="004E4E5A">
      <w:pPr>
        <w:pStyle w:val="Funotentext"/>
        <w:rPr>
          <w:lang w:val="en-GB"/>
        </w:rPr>
      </w:pPr>
      <w:r w:rsidRPr="005A7832">
        <w:rPr>
          <w:rStyle w:val="Funotenzeichen"/>
          <w:lang w:val="en-GB"/>
        </w:rPr>
        <w:footnoteRef/>
      </w:r>
      <w:r w:rsidRPr="005A7832">
        <w:rPr>
          <w:lang w:val="en-GB"/>
        </w:rPr>
        <w:t xml:space="preserve"> ibid, Appendix 2.5, 14. </w:t>
      </w:r>
    </w:p>
  </w:footnote>
  <w:footnote w:id="59">
    <w:p w:rsidR="007B1D1A" w:rsidRPr="005A7832" w:rsidRDefault="007B1D1A">
      <w:pPr>
        <w:pStyle w:val="Funotentext"/>
        <w:rPr>
          <w:lang w:val="en-GB"/>
        </w:rPr>
      </w:pPr>
      <w:r w:rsidRPr="005A7832">
        <w:rPr>
          <w:rStyle w:val="Funotenzeichen"/>
          <w:lang w:val="en-GB"/>
        </w:rPr>
        <w:footnoteRef/>
      </w:r>
      <w:r w:rsidRPr="005A7832">
        <w:rPr>
          <w:lang w:val="en-GB"/>
        </w:rPr>
        <w:t xml:space="preserve"> Ruxley Ventures (n </w:t>
      </w:r>
      <w:r w:rsidRPr="005A7832">
        <w:rPr>
          <w:lang w:val="en-GB"/>
        </w:rPr>
        <w:fldChar w:fldCharType="begin"/>
      </w:r>
      <w:r w:rsidRPr="005A7832">
        <w:rPr>
          <w:lang w:val="en-GB"/>
        </w:rPr>
        <w:instrText xml:space="preserve"> NOTEREF _Ref405987576 \h </w:instrText>
      </w:r>
      <w:r w:rsidRPr="005A7832">
        <w:rPr>
          <w:lang w:val="en-GB"/>
        </w:rPr>
      </w:r>
      <w:r w:rsidRPr="005A7832">
        <w:rPr>
          <w:lang w:val="en-GB"/>
        </w:rPr>
        <w:fldChar w:fldCharType="separate"/>
      </w:r>
      <w:r w:rsidR="003C0B81">
        <w:rPr>
          <w:lang w:val="en-GB"/>
        </w:rPr>
        <w:t>56</w:t>
      </w:r>
      <w:r w:rsidRPr="005A7832">
        <w:rPr>
          <w:lang w:val="en-GB"/>
        </w:rPr>
        <w:fldChar w:fldCharType="end"/>
      </w:r>
      <w:r w:rsidRPr="005A7832">
        <w:rPr>
          <w:lang w:val="en-GB"/>
        </w:rPr>
        <w:t>).</w:t>
      </w:r>
    </w:p>
  </w:footnote>
  <w:footnote w:id="60">
    <w:p w:rsidR="007B1D1A" w:rsidRPr="005A7832" w:rsidRDefault="007B1D1A">
      <w:pPr>
        <w:pStyle w:val="Funotentext"/>
        <w:rPr>
          <w:lang w:val="en-GB"/>
        </w:rPr>
      </w:pPr>
      <w:r w:rsidRPr="005A7832">
        <w:rPr>
          <w:rStyle w:val="Funotenzeichen"/>
          <w:lang w:val="en-GB"/>
        </w:rPr>
        <w:footnoteRef/>
      </w:r>
      <w:r w:rsidRPr="005A7832">
        <w:rPr>
          <w:lang w:val="en-GB"/>
        </w:rPr>
        <w:t xml:space="preserve"> Schaumlöffel </w:t>
      </w:r>
      <w:r w:rsidR="000132AE">
        <w:rPr>
          <w:lang w:val="en-GB"/>
        </w:rPr>
        <w:t xml:space="preserve">K, </w:t>
      </w:r>
      <w:r w:rsidRPr="005A7832">
        <w:rPr>
          <w:lang w:val="en-GB"/>
        </w:rPr>
        <w:t xml:space="preserve">’Run-Off: Supervision of insurance undertakings with portfolios in run-off’ (Bundesanstalt für Finanzdienstleistungsaufsicht (BaFin), 2014), accessed 10 </w:t>
      </w:r>
      <w:r w:rsidR="00C139F3">
        <w:rPr>
          <w:lang w:val="en-GB"/>
        </w:rPr>
        <w:t>April</w:t>
      </w:r>
      <w:r w:rsidRPr="005A7832">
        <w:rPr>
          <w:lang w:val="en-GB"/>
        </w:rPr>
        <w:t xml:space="preserve"> 201</w:t>
      </w:r>
      <w:r w:rsidR="00FD6ED6">
        <w:rPr>
          <w:lang w:val="en-GB"/>
        </w:rPr>
        <w:t>5</w:t>
      </w:r>
      <w:r w:rsidR="005D6674">
        <w:rPr>
          <w:lang w:val="en-GB"/>
        </w:rPr>
        <w:t>.</w:t>
      </w:r>
      <w:r w:rsidRPr="005A7832">
        <w:rPr>
          <w:lang w:val="en-GB"/>
        </w:rPr>
        <w:t xml:space="preserve"> &lt;www.bafin.de/SharedDocs/Veroeffentlichungen/EN/Fachartikel/2014/fa_bj_1403_run-off_en.html&gt;</w:t>
      </w:r>
    </w:p>
  </w:footnote>
  <w:footnote w:id="61">
    <w:p w:rsidR="007B1D1A" w:rsidRPr="005A7832" w:rsidRDefault="007B1D1A">
      <w:pPr>
        <w:pStyle w:val="Funotentext"/>
        <w:rPr>
          <w:lang w:val="en-GB"/>
        </w:rPr>
      </w:pPr>
      <w:r w:rsidRPr="005A7832">
        <w:rPr>
          <w:rStyle w:val="Funotenzeichen"/>
          <w:lang w:val="en-GB"/>
        </w:rPr>
        <w:footnoteRef/>
      </w:r>
      <w:r w:rsidRPr="005A7832">
        <w:rPr>
          <w:lang w:val="en-GB"/>
        </w:rPr>
        <w:t xml:space="preserve"> ibid. </w:t>
      </w:r>
    </w:p>
  </w:footnote>
  <w:footnote w:id="62">
    <w:p w:rsidR="00C5747D" w:rsidRPr="005A7832" w:rsidRDefault="00C5747D">
      <w:pPr>
        <w:pStyle w:val="Funotentext"/>
        <w:rPr>
          <w:lang w:val="en-GB"/>
        </w:rPr>
      </w:pPr>
      <w:r w:rsidRPr="005A7832">
        <w:rPr>
          <w:rStyle w:val="Funotenzeichen"/>
          <w:lang w:val="en-GB"/>
        </w:rPr>
        <w:footnoteRef/>
      </w:r>
      <w:r w:rsidRPr="005A7832">
        <w:rPr>
          <w:lang w:val="en-GB"/>
        </w:rPr>
        <w:t xml:space="preserve"> Solvency II </w:t>
      </w:r>
      <w:r w:rsidR="005D6674">
        <w:rPr>
          <w:lang w:val="en-GB"/>
        </w:rPr>
        <w:t xml:space="preserve">(n </w:t>
      </w:r>
      <w:r w:rsidR="005D6674">
        <w:rPr>
          <w:lang w:val="en-GB"/>
        </w:rPr>
        <w:fldChar w:fldCharType="begin"/>
      </w:r>
      <w:r w:rsidR="005D6674">
        <w:rPr>
          <w:lang w:val="en-GB"/>
        </w:rPr>
        <w:instrText xml:space="preserve"> NOTEREF _Ref419296104 \h </w:instrText>
      </w:r>
      <w:r w:rsidR="005D6674">
        <w:rPr>
          <w:lang w:val="en-GB"/>
        </w:rPr>
      </w:r>
      <w:r w:rsidR="005D6674">
        <w:rPr>
          <w:lang w:val="en-GB"/>
        </w:rPr>
        <w:fldChar w:fldCharType="separate"/>
      </w:r>
      <w:r w:rsidR="005D6674">
        <w:rPr>
          <w:lang w:val="en-GB"/>
        </w:rPr>
        <w:t>3</w:t>
      </w:r>
      <w:r w:rsidR="005D6674">
        <w:rPr>
          <w:lang w:val="en-GB"/>
        </w:rPr>
        <w:fldChar w:fldCharType="end"/>
      </w:r>
      <w:r w:rsidR="005D6674">
        <w:rPr>
          <w:lang w:val="en-GB"/>
        </w:rPr>
        <w:t xml:space="preserve">) </w:t>
      </w:r>
      <w:r w:rsidRPr="005A7832">
        <w:rPr>
          <w:lang w:val="en-GB"/>
        </w:rPr>
        <w:t xml:space="preserve">art 4(1). </w:t>
      </w:r>
    </w:p>
  </w:footnote>
  <w:footnote w:id="63">
    <w:p w:rsidR="004618DF" w:rsidRPr="005A7832" w:rsidRDefault="004618DF" w:rsidP="004618DF">
      <w:pPr>
        <w:pStyle w:val="Funotentext"/>
        <w:rPr>
          <w:lang w:val="en-GB"/>
        </w:rPr>
      </w:pPr>
      <w:r w:rsidRPr="005A7832">
        <w:rPr>
          <w:rStyle w:val="Funotenzeichen"/>
          <w:lang w:val="en-GB"/>
        </w:rPr>
        <w:footnoteRef/>
      </w:r>
      <w:r w:rsidRPr="005A7832">
        <w:rPr>
          <w:lang w:val="en-GB"/>
        </w:rPr>
        <w:t xml:space="preserve"> PWC (n </w:t>
      </w:r>
      <w:r w:rsidRPr="005A7832">
        <w:rPr>
          <w:lang w:val="en-GB"/>
        </w:rPr>
        <w:fldChar w:fldCharType="begin"/>
      </w:r>
      <w:r w:rsidRPr="005A7832">
        <w:rPr>
          <w:lang w:val="en-GB"/>
        </w:rPr>
        <w:instrText xml:space="preserve"> NOTEREF _Ref404088590 \h  \* MERGEFORMAT </w:instrText>
      </w:r>
      <w:r w:rsidRPr="005A7832">
        <w:rPr>
          <w:lang w:val="en-GB"/>
        </w:rPr>
      </w:r>
      <w:r w:rsidRPr="005A7832">
        <w:rPr>
          <w:lang w:val="en-GB"/>
        </w:rPr>
        <w:fldChar w:fldCharType="separate"/>
      </w:r>
      <w:r w:rsidR="003C0B81">
        <w:rPr>
          <w:lang w:val="en-GB"/>
        </w:rPr>
        <w:t>14</w:t>
      </w:r>
      <w:r w:rsidRPr="005A7832">
        <w:rPr>
          <w:lang w:val="en-GB"/>
        </w:rPr>
        <w:fldChar w:fldCharType="end"/>
      </w:r>
      <w:r w:rsidRPr="005A7832">
        <w:rPr>
          <w:lang w:val="en-GB"/>
        </w:rPr>
        <w:t xml:space="preserve">). </w:t>
      </w:r>
    </w:p>
  </w:footnote>
  <w:footnote w:id="64">
    <w:p w:rsidR="007B1D1A" w:rsidRPr="005A7832" w:rsidRDefault="007B1D1A" w:rsidP="00E87A45">
      <w:pPr>
        <w:pStyle w:val="Funotentext"/>
        <w:rPr>
          <w:lang w:val="en-GB"/>
        </w:rPr>
      </w:pPr>
      <w:r w:rsidRPr="005A7832">
        <w:rPr>
          <w:rStyle w:val="Funotenzeichen"/>
          <w:lang w:val="en-GB"/>
        </w:rPr>
        <w:footnoteRef/>
      </w:r>
      <w:r w:rsidRPr="005A7832">
        <w:rPr>
          <w:lang w:val="en-GB"/>
        </w:rPr>
        <w:t xml:space="preserve"> Directive 2005/56/EC of the European Parliament and of the Council of 26 October 2005 on cross-border mergers of limited liability companies [2005] OJ L 310/1.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3133197"/>
      <w:docPartObj>
        <w:docPartGallery w:val="Page Numbers (Top of Page)"/>
        <w:docPartUnique/>
      </w:docPartObj>
    </w:sdtPr>
    <w:sdtEndPr>
      <w:rPr>
        <w:rFonts w:ascii="Times New Roman" w:hAnsi="Times New Roman" w:cs="Times New Roman"/>
        <w:noProof/>
      </w:rPr>
    </w:sdtEndPr>
    <w:sdtContent>
      <w:p w:rsidR="007B1D1A" w:rsidRPr="00BB0A78" w:rsidRDefault="007B1D1A">
        <w:pPr>
          <w:pStyle w:val="Kopfzeile"/>
          <w:jc w:val="right"/>
          <w:rPr>
            <w:rFonts w:ascii="Times New Roman" w:hAnsi="Times New Roman" w:cs="Times New Roman"/>
          </w:rPr>
        </w:pPr>
        <w:r w:rsidRPr="00BB0A78">
          <w:rPr>
            <w:rFonts w:ascii="Times New Roman" w:hAnsi="Times New Roman" w:cs="Times New Roman"/>
          </w:rPr>
          <w:fldChar w:fldCharType="begin"/>
        </w:r>
        <w:r w:rsidRPr="00BB0A78">
          <w:rPr>
            <w:rFonts w:ascii="Times New Roman" w:hAnsi="Times New Roman" w:cs="Times New Roman"/>
          </w:rPr>
          <w:instrText xml:space="preserve"> PAGE   \* MERGEFORMAT </w:instrText>
        </w:r>
        <w:r w:rsidRPr="00BB0A78">
          <w:rPr>
            <w:rFonts w:ascii="Times New Roman" w:hAnsi="Times New Roman" w:cs="Times New Roman"/>
          </w:rPr>
          <w:fldChar w:fldCharType="separate"/>
        </w:r>
        <w:r w:rsidR="008E43E8">
          <w:rPr>
            <w:rFonts w:ascii="Times New Roman" w:hAnsi="Times New Roman" w:cs="Times New Roman"/>
            <w:noProof/>
          </w:rPr>
          <w:t>2</w:t>
        </w:r>
        <w:r w:rsidRPr="00BB0A78">
          <w:rPr>
            <w:rFonts w:ascii="Times New Roman" w:hAnsi="Times New Roman" w:cs="Times New Roman"/>
            <w:noProof/>
          </w:rPr>
          <w:fldChar w:fldCharType="end"/>
        </w:r>
      </w:p>
    </w:sdtContent>
  </w:sdt>
  <w:p w:rsidR="007B1D1A" w:rsidRDefault="007B1D1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213B3"/>
    <w:multiLevelType w:val="hybridMultilevel"/>
    <w:tmpl w:val="BD3C44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7B61E7"/>
    <w:multiLevelType w:val="hybridMultilevel"/>
    <w:tmpl w:val="47EEC4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555ABE"/>
    <w:multiLevelType w:val="hybridMultilevel"/>
    <w:tmpl w:val="C7FA48BE"/>
    <w:lvl w:ilvl="0" w:tplc="CEAAED00">
      <w:start w:val="1"/>
      <w:numFmt w:val="decimal"/>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3">
    <w:nsid w:val="31B64328"/>
    <w:multiLevelType w:val="multilevel"/>
    <w:tmpl w:val="21F89E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90416EC"/>
    <w:multiLevelType w:val="multilevel"/>
    <w:tmpl w:val="44549E6E"/>
    <w:lvl w:ilvl="0">
      <w:start w:val="1"/>
      <w:numFmt w:val="decimal"/>
      <w:lvlText w:val="%1."/>
      <w:lvlJc w:val="left"/>
      <w:pPr>
        <w:ind w:left="1069" w:hanging="360"/>
      </w:pPr>
      <w:rPr>
        <w:rFonts w:hint="default"/>
      </w:rPr>
    </w:lvl>
    <w:lvl w:ilvl="1">
      <w:start w:val="1"/>
      <w:numFmt w:val="decimal"/>
      <w:lvlText w:val="%2."/>
      <w:lvlJc w:val="left"/>
      <w:pPr>
        <w:ind w:left="5179" w:hanging="375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5">
    <w:nsid w:val="3E30719E"/>
    <w:multiLevelType w:val="multilevel"/>
    <w:tmpl w:val="732CE7B8"/>
    <w:lvl w:ilvl="0">
      <w:start w:val="1"/>
      <w:numFmt w:val="upperRoman"/>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4F66034"/>
    <w:multiLevelType w:val="hybridMultilevel"/>
    <w:tmpl w:val="3E8A9246"/>
    <w:lvl w:ilvl="0" w:tplc="6032BB7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633634E"/>
    <w:multiLevelType w:val="hybridMultilevel"/>
    <w:tmpl w:val="CA442BC4"/>
    <w:lvl w:ilvl="0" w:tplc="3FB0CCE6">
      <w:start w:val="1"/>
      <w:numFmt w:val="decimal"/>
      <w:lvlText w:val="%1)"/>
      <w:lvlJc w:val="left"/>
      <w:pPr>
        <w:ind w:left="1069" w:hanging="360"/>
      </w:pPr>
      <w:rPr>
        <w:rFonts w:hint="default"/>
      </w:rPr>
    </w:lvl>
    <w:lvl w:ilvl="1" w:tplc="45A4F0F0">
      <w:start w:val="1"/>
      <w:numFmt w:val="decimal"/>
      <w:lvlText w:val="%2."/>
      <w:lvlJc w:val="left"/>
      <w:pPr>
        <w:ind w:left="5179" w:hanging="375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4B1819BB"/>
    <w:multiLevelType w:val="hybridMultilevel"/>
    <w:tmpl w:val="90CAF8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56640117"/>
    <w:multiLevelType w:val="multilevel"/>
    <w:tmpl w:val="0F302A1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E407FCD"/>
    <w:multiLevelType w:val="hybridMultilevel"/>
    <w:tmpl w:val="5B3C8F3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4D6404F"/>
    <w:multiLevelType w:val="multilevel"/>
    <w:tmpl w:val="AA9218D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nsid w:val="753B3704"/>
    <w:multiLevelType w:val="multilevel"/>
    <w:tmpl w:val="CA442BC4"/>
    <w:lvl w:ilvl="0">
      <w:start w:val="1"/>
      <w:numFmt w:val="decimal"/>
      <w:lvlText w:val="%1)"/>
      <w:lvlJc w:val="left"/>
      <w:pPr>
        <w:ind w:left="1069" w:hanging="360"/>
      </w:pPr>
      <w:rPr>
        <w:rFonts w:hint="default"/>
      </w:rPr>
    </w:lvl>
    <w:lvl w:ilvl="1">
      <w:start w:val="1"/>
      <w:numFmt w:val="decimal"/>
      <w:lvlText w:val="%2."/>
      <w:lvlJc w:val="left"/>
      <w:pPr>
        <w:ind w:left="5179" w:hanging="375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13">
    <w:nsid w:val="75686632"/>
    <w:multiLevelType w:val="multilevel"/>
    <w:tmpl w:val="0648774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nsid w:val="791F7B92"/>
    <w:multiLevelType w:val="hybridMultilevel"/>
    <w:tmpl w:val="A7B662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97C6784"/>
    <w:multiLevelType w:val="multilevel"/>
    <w:tmpl w:val="CA442BC4"/>
    <w:lvl w:ilvl="0">
      <w:start w:val="1"/>
      <w:numFmt w:val="decimal"/>
      <w:lvlText w:val="%1)"/>
      <w:lvlJc w:val="left"/>
      <w:pPr>
        <w:ind w:left="1069" w:hanging="360"/>
      </w:pPr>
      <w:rPr>
        <w:rFonts w:hint="default"/>
      </w:rPr>
    </w:lvl>
    <w:lvl w:ilvl="1">
      <w:start w:val="1"/>
      <w:numFmt w:val="decimal"/>
      <w:lvlText w:val="%2."/>
      <w:lvlJc w:val="left"/>
      <w:pPr>
        <w:ind w:left="5179" w:hanging="3750"/>
      </w:pPr>
      <w:rPr>
        <w:rFonts w:hint="default"/>
      </w:r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num w:numId="1">
    <w:abstractNumId w:val="5"/>
  </w:num>
  <w:num w:numId="2">
    <w:abstractNumId w:val="2"/>
  </w:num>
  <w:num w:numId="3">
    <w:abstractNumId w:val="0"/>
  </w:num>
  <w:num w:numId="4">
    <w:abstractNumId w:val="14"/>
  </w:num>
  <w:num w:numId="5">
    <w:abstractNumId w:val="1"/>
  </w:num>
  <w:num w:numId="6">
    <w:abstractNumId w:val="10"/>
  </w:num>
  <w:num w:numId="7">
    <w:abstractNumId w:val="7"/>
  </w:num>
  <w:num w:numId="8">
    <w:abstractNumId w:val="6"/>
  </w:num>
  <w:num w:numId="9">
    <w:abstractNumId w:val="13"/>
  </w:num>
  <w:num w:numId="10">
    <w:abstractNumId w:val="11"/>
  </w:num>
  <w:num w:numId="11">
    <w:abstractNumId w:val="3"/>
  </w:num>
  <w:num w:numId="12">
    <w:abstractNumId w:val="9"/>
  </w:num>
  <w:num w:numId="13">
    <w:abstractNumId w:val="15"/>
  </w:num>
  <w:num w:numId="14">
    <w:abstractNumId w:val="12"/>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A15"/>
    <w:rsid w:val="00000E0E"/>
    <w:rsid w:val="000011EC"/>
    <w:rsid w:val="00002398"/>
    <w:rsid w:val="00002819"/>
    <w:rsid w:val="00003AF7"/>
    <w:rsid w:val="000054BC"/>
    <w:rsid w:val="000120CB"/>
    <w:rsid w:val="000132AE"/>
    <w:rsid w:val="0001394F"/>
    <w:rsid w:val="0001662E"/>
    <w:rsid w:val="00020183"/>
    <w:rsid w:val="00020FBE"/>
    <w:rsid w:val="00021294"/>
    <w:rsid w:val="0002192F"/>
    <w:rsid w:val="00021D68"/>
    <w:rsid w:val="000226A0"/>
    <w:rsid w:val="00022AD9"/>
    <w:rsid w:val="00026D1B"/>
    <w:rsid w:val="0003082E"/>
    <w:rsid w:val="00031B7A"/>
    <w:rsid w:val="00031BEF"/>
    <w:rsid w:val="00034145"/>
    <w:rsid w:val="00034FE0"/>
    <w:rsid w:val="000378E2"/>
    <w:rsid w:val="00037BA3"/>
    <w:rsid w:val="00040BC8"/>
    <w:rsid w:val="00040E95"/>
    <w:rsid w:val="00043446"/>
    <w:rsid w:val="00044CC0"/>
    <w:rsid w:val="00045079"/>
    <w:rsid w:val="00047A2F"/>
    <w:rsid w:val="00050C0A"/>
    <w:rsid w:val="00051166"/>
    <w:rsid w:val="00051957"/>
    <w:rsid w:val="00053DBE"/>
    <w:rsid w:val="00053F34"/>
    <w:rsid w:val="000559FB"/>
    <w:rsid w:val="0005632F"/>
    <w:rsid w:val="000579E7"/>
    <w:rsid w:val="00070FCE"/>
    <w:rsid w:val="00074042"/>
    <w:rsid w:val="00074C4A"/>
    <w:rsid w:val="00080DF9"/>
    <w:rsid w:val="00082DA9"/>
    <w:rsid w:val="00083D28"/>
    <w:rsid w:val="00083DEE"/>
    <w:rsid w:val="00086460"/>
    <w:rsid w:val="0008764D"/>
    <w:rsid w:val="00092E7D"/>
    <w:rsid w:val="00093586"/>
    <w:rsid w:val="00097CCF"/>
    <w:rsid w:val="000A1DEA"/>
    <w:rsid w:val="000A2603"/>
    <w:rsid w:val="000A2C2D"/>
    <w:rsid w:val="000A363C"/>
    <w:rsid w:val="000A3952"/>
    <w:rsid w:val="000B1372"/>
    <w:rsid w:val="000B1F5B"/>
    <w:rsid w:val="000B2115"/>
    <w:rsid w:val="000B254B"/>
    <w:rsid w:val="000B3DFC"/>
    <w:rsid w:val="000B6166"/>
    <w:rsid w:val="000C132D"/>
    <w:rsid w:val="000C2E36"/>
    <w:rsid w:val="000C6675"/>
    <w:rsid w:val="000D12D9"/>
    <w:rsid w:val="000D1A4D"/>
    <w:rsid w:val="000D1CFB"/>
    <w:rsid w:val="000D6753"/>
    <w:rsid w:val="000E2493"/>
    <w:rsid w:val="000E6719"/>
    <w:rsid w:val="000E779A"/>
    <w:rsid w:val="000F187D"/>
    <w:rsid w:val="000F32EC"/>
    <w:rsid w:val="000F3934"/>
    <w:rsid w:val="000F68E7"/>
    <w:rsid w:val="000F6E17"/>
    <w:rsid w:val="00100570"/>
    <w:rsid w:val="0010093A"/>
    <w:rsid w:val="00100A7D"/>
    <w:rsid w:val="00101418"/>
    <w:rsid w:val="00101BDF"/>
    <w:rsid w:val="00101F62"/>
    <w:rsid w:val="0010236C"/>
    <w:rsid w:val="001055B5"/>
    <w:rsid w:val="00105A25"/>
    <w:rsid w:val="00105AF2"/>
    <w:rsid w:val="00106258"/>
    <w:rsid w:val="001077FA"/>
    <w:rsid w:val="0011037E"/>
    <w:rsid w:val="00112532"/>
    <w:rsid w:val="0011270D"/>
    <w:rsid w:val="00112E52"/>
    <w:rsid w:val="00113E4F"/>
    <w:rsid w:val="00113F0A"/>
    <w:rsid w:val="00115794"/>
    <w:rsid w:val="0011678A"/>
    <w:rsid w:val="0011714C"/>
    <w:rsid w:val="00120794"/>
    <w:rsid w:val="001302CF"/>
    <w:rsid w:val="00131845"/>
    <w:rsid w:val="00132B9C"/>
    <w:rsid w:val="001367D2"/>
    <w:rsid w:val="00143A02"/>
    <w:rsid w:val="00144154"/>
    <w:rsid w:val="00145BE6"/>
    <w:rsid w:val="001467D2"/>
    <w:rsid w:val="001469A4"/>
    <w:rsid w:val="00156646"/>
    <w:rsid w:val="00156B84"/>
    <w:rsid w:val="001628D2"/>
    <w:rsid w:val="00163E3A"/>
    <w:rsid w:val="001646B5"/>
    <w:rsid w:val="001671D4"/>
    <w:rsid w:val="001746E1"/>
    <w:rsid w:val="00176BAF"/>
    <w:rsid w:val="0017776F"/>
    <w:rsid w:val="00180232"/>
    <w:rsid w:val="001823B0"/>
    <w:rsid w:val="001831C4"/>
    <w:rsid w:val="00183EA2"/>
    <w:rsid w:val="00192B01"/>
    <w:rsid w:val="00194501"/>
    <w:rsid w:val="0019558E"/>
    <w:rsid w:val="0019755C"/>
    <w:rsid w:val="001A0A4E"/>
    <w:rsid w:val="001A1207"/>
    <w:rsid w:val="001A25D6"/>
    <w:rsid w:val="001A33FB"/>
    <w:rsid w:val="001A355F"/>
    <w:rsid w:val="001A3815"/>
    <w:rsid w:val="001A4AB8"/>
    <w:rsid w:val="001B695A"/>
    <w:rsid w:val="001B6CC2"/>
    <w:rsid w:val="001B7EF6"/>
    <w:rsid w:val="001C0F94"/>
    <w:rsid w:val="001C12F6"/>
    <w:rsid w:val="001C2F8B"/>
    <w:rsid w:val="001C49E1"/>
    <w:rsid w:val="001C689D"/>
    <w:rsid w:val="001D0C12"/>
    <w:rsid w:val="001D10E0"/>
    <w:rsid w:val="001D15AD"/>
    <w:rsid w:val="001D1FC7"/>
    <w:rsid w:val="001E059E"/>
    <w:rsid w:val="001E1B76"/>
    <w:rsid w:val="001E256B"/>
    <w:rsid w:val="001E2BBE"/>
    <w:rsid w:val="001E4CE0"/>
    <w:rsid w:val="001E5923"/>
    <w:rsid w:val="001F0431"/>
    <w:rsid w:val="001F1E8D"/>
    <w:rsid w:val="00201192"/>
    <w:rsid w:val="002039EB"/>
    <w:rsid w:val="00205B0F"/>
    <w:rsid w:val="0020660B"/>
    <w:rsid w:val="0021001D"/>
    <w:rsid w:val="00211D32"/>
    <w:rsid w:val="00212FCE"/>
    <w:rsid w:val="00215144"/>
    <w:rsid w:val="002204DC"/>
    <w:rsid w:val="0022110E"/>
    <w:rsid w:val="002223D7"/>
    <w:rsid w:val="00222811"/>
    <w:rsid w:val="00223BDB"/>
    <w:rsid w:val="00224A60"/>
    <w:rsid w:val="00225A59"/>
    <w:rsid w:val="00227FC9"/>
    <w:rsid w:val="0023081B"/>
    <w:rsid w:val="0023357F"/>
    <w:rsid w:val="00234A40"/>
    <w:rsid w:val="00235B98"/>
    <w:rsid w:val="002371EE"/>
    <w:rsid w:val="0024032C"/>
    <w:rsid w:val="00245018"/>
    <w:rsid w:val="0024511D"/>
    <w:rsid w:val="00245F51"/>
    <w:rsid w:val="00246CB7"/>
    <w:rsid w:val="00247FD9"/>
    <w:rsid w:val="002519DC"/>
    <w:rsid w:val="0025407A"/>
    <w:rsid w:val="002572BC"/>
    <w:rsid w:val="00257583"/>
    <w:rsid w:val="0025782E"/>
    <w:rsid w:val="00260FEB"/>
    <w:rsid w:val="00262D14"/>
    <w:rsid w:val="00266C9D"/>
    <w:rsid w:val="00270735"/>
    <w:rsid w:val="00272099"/>
    <w:rsid w:val="00273B83"/>
    <w:rsid w:val="00280341"/>
    <w:rsid w:val="00280A93"/>
    <w:rsid w:val="00282666"/>
    <w:rsid w:val="00283BD6"/>
    <w:rsid w:val="0028426A"/>
    <w:rsid w:val="00286656"/>
    <w:rsid w:val="00290972"/>
    <w:rsid w:val="00290C15"/>
    <w:rsid w:val="00291255"/>
    <w:rsid w:val="00291F2E"/>
    <w:rsid w:val="002944CC"/>
    <w:rsid w:val="00295897"/>
    <w:rsid w:val="002A11B9"/>
    <w:rsid w:val="002A3F2D"/>
    <w:rsid w:val="002A6501"/>
    <w:rsid w:val="002A76EE"/>
    <w:rsid w:val="002B07C7"/>
    <w:rsid w:val="002B0990"/>
    <w:rsid w:val="002B35CD"/>
    <w:rsid w:val="002B4BE9"/>
    <w:rsid w:val="002C0B7A"/>
    <w:rsid w:val="002C159B"/>
    <w:rsid w:val="002C17DB"/>
    <w:rsid w:val="002C6117"/>
    <w:rsid w:val="002C6214"/>
    <w:rsid w:val="002D0064"/>
    <w:rsid w:val="002D110B"/>
    <w:rsid w:val="002D25BC"/>
    <w:rsid w:val="002D445D"/>
    <w:rsid w:val="002D5F0E"/>
    <w:rsid w:val="002E38B8"/>
    <w:rsid w:val="002E6FC5"/>
    <w:rsid w:val="002E7568"/>
    <w:rsid w:val="002F176E"/>
    <w:rsid w:val="002F23D8"/>
    <w:rsid w:val="002F29BD"/>
    <w:rsid w:val="002F4A60"/>
    <w:rsid w:val="002F50E0"/>
    <w:rsid w:val="002F54A2"/>
    <w:rsid w:val="002F6945"/>
    <w:rsid w:val="00300512"/>
    <w:rsid w:val="00301F12"/>
    <w:rsid w:val="003034F3"/>
    <w:rsid w:val="00306090"/>
    <w:rsid w:val="00307A07"/>
    <w:rsid w:val="00307ECE"/>
    <w:rsid w:val="00311A1C"/>
    <w:rsid w:val="00311AA3"/>
    <w:rsid w:val="00313D92"/>
    <w:rsid w:val="00321EC7"/>
    <w:rsid w:val="00323636"/>
    <w:rsid w:val="0032383B"/>
    <w:rsid w:val="003246A9"/>
    <w:rsid w:val="003257A5"/>
    <w:rsid w:val="00326DCD"/>
    <w:rsid w:val="003275BF"/>
    <w:rsid w:val="0033099B"/>
    <w:rsid w:val="00333DD2"/>
    <w:rsid w:val="0033768E"/>
    <w:rsid w:val="003409D7"/>
    <w:rsid w:val="00340C7C"/>
    <w:rsid w:val="00341D56"/>
    <w:rsid w:val="00351FF1"/>
    <w:rsid w:val="003529B3"/>
    <w:rsid w:val="00352FE0"/>
    <w:rsid w:val="003550BE"/>
    <w:rsid w:val="003603A1"/>
    <w:rsid w:val="003619B7"/>
    <w:rsid w:val="00362309"/>
    <w:rsid w:val="00362832"/>
    <w:rsid w:val="0036296E"/>
    <w:rsid w:val="00364140"/>
    <w:rsid w:val="003649FB"/>
    <w:rsid w:val="00365661"/>
    <w:rsid w:val="003663E7"/>
    <w:rsid w:val="0036640E"/>
    <w:rsid w:val="003677A3"/>
    <w:rsid w:val="00370B05"/>
    <w:rsid w:val="003775C4"/>
    <w:rsid w:val="00377A90"/>
    <w:rsid w:val="00382165"/>
    <w:rsid w:val="00382553"/>
    <w:rsid w:val="00386B89"/>
    <w:rsid w:val="003911A3"/>
    <w:rsid w:val="003921ED"/>
    <w:rsid w:val="00392DC4"/>
    <w:rsid w:val="00396E72"/>
    <w:rsid w:val="00397125"/>
    <w:rsid w:val="003A0A12"/>
    <w:rsid w:val="003A10F0"/>
    <w:rsid w:val="003A2D72"/>
    <w:rsid w:val="003A36E9"/>
    <w:rsid w:val="003A391C"/>
    <w:rsid w:val="003A52F2"/>
    <w:rsid w:val="003A57B6"/>
    <w:rsid w:val="003A726B"/>
    <w:rsid w:val="003A7420"/>
    <w:rsid w:val="003B1A9B"/>
    <w:rsid w:val="003B4D52"/>
    <w:rsid w:val="003B5268"/>
    <w:rsid w:val="003B6780"/>
    <w:rsid w:val="003B680B"/>
    <w:rsid w:val="003C0B81"/>
    <w:rsid w:val="003C2C89"/>
    <w:rsid w:val="003C4736"/>
    <w:rsid w:val="003C48A4"/>
    <w:rsid w:val="003C5E3D"/>
    <w:rsid w:val="003C7AEE"/>
    <w:rsid w:val="003D5F72"/>
    <w:rsid w:val="003D6260"/>
    <w:rsid w:val="003D634B"/>
    <w:rsid w:val="003E0592"/>
    <w:rsid w:val="003E06FC"/>
    <w:rsid w:val="003E2250"/>
    <w:rsid w:val="003E3E2B"/>
    <w:rsid w:val="003E76CF"/>
    <w:rsid w:val="003F2965"/>
    <w:rsid w:val="003F44C7"/>
    <w:rsid w:val="003F5242"/>
    <w:rsid w:val="003F6DE6"/>
    <w:rsid w:val="004049C4"/>
    <w:rsid w:val="00404BB0"/>
    <w:rsid w:val="00404FEB"/>
    <w:rsid w:val="00405E37"/>
    <w:rsid w:val="0040782B"/>
    <w:rsid w:val="00412EBE"/>
    <w:rsid w:val="00414AE5"/>
    <w:rsid w:val="0041573A"/>
    <w:rsid w:val="004163AF"/>
    <w:rsid w:val="0042300C"/>
    <w:rsid w:val="004234DE"/>
    <w:rsid w:val="004245ED"/>
    <w:rsid w:val="00424822"/>
    <w:rsid w:val="0043571E"/>
    <w:rsid w:val="004409F4"/>
    <w:rsid w:val="00440AEA"/>
    <w:rsid w:val="00447969"/>
    <w:rsid w:val="00447C5A"/>
    <w:rsid w:val="00450712"/>
    <w:rsid w:val="00450B40"/>
    <w:rsid w:val="00453249"/>
    <w:rsid w:val="004538BA"/>
    <w:rsid w:val="00455899"/>
    <w:rsid w:val="004560C9"/>
    <w:rsid w:val="00460FCA"/>
    <w:rsid w:val="004610DA"/>
    <w:rsid w:val="004618DF"/>
    <w:rsid w:val="00462ABC"/>
    <w:rsid w:val="0046495A"/>
    <w:rsid w:val="00466458"/>
    <w:rsid w:val="004676A1"/>
    <w:rsid w:val="00470732"/>
    <w:rsid w:val="00471F2F"/>
    <w:rsid w:val="00476BCB"/>
    <w:rsid w:val="00477040"/>
    <w:rsid w:val="004810C5"/>
    <w:rsid w:val="00486447"/>
    <w:rsid w:val="00487B0A"/>
    <w:rsid w:val="00487B2A"/>
    <w:rsid w:val="004906E4"/>
    <w:rsid w:val="0049071C"/>
    <w:rsid w:val="00490E37"/>
    <w:rsid w:val="0049197C"/>
    <w:rsid w:val="00491F1C"/>
    <w:rsid w:val="00496460"/>
    <w:rsid w:val="00496661"/>
    <w:rsid w:val="0049755C"/>
    <w:rsid w:val="004A40B9"/>
    <w:rsid w:val="004A5C6D"/>
    <w:rsid w:val="004A6C3F"/>
    <w:rsid w:val="004A7BFE"/>
    <w:rsid w:val="004B094B"/>
    <w:rsid w:val="004B7821"/>
    <w:rsid w:val="004C0BDC"/>
    <w:rsid w:val="004C197C"/>
    <w:rsid w:val="004C1A6F"/>
    <w:rsid w:val="004D118C"/>
    <w:rsid w:val="004D1BEF"/>
    <w:rsid w:val="004D3EB1"/>
    <w:rsid w:val="004D5D8F"/>
    <w:rsid w:val="004E10C5"/>
    <w:rsid w:val="004E1C24"/>
    <w:rsid w:val="004E38F9"/>
    <w:rsid w:val="004E4E5A"/>
    <w:rsid w:val="004E5856"/>
    <w:rsid w:val="004E69EA"/>
    <w:rsid w:val="004E71EE"/>
    <w:rsid w:val="004E74AB"/>
    <w:rsid w:val="004E7E82"/>
    <w:rsid w:val="004F0A76"/>
    <w:rsid w:val="004F339A"/>
    <w:rsid w:val="004F3A0B"/>
    <w:rsid w:val="004F5A98"/>
    <w:rsid w:val="004F655A"/>
    <w:rsid w:val="004F6FB0"/>
    <w:rsid w:val="0050001C"/>
    <w:rsid w:val="005009C0"/>
    <w:rsid w:val="005027E2"/>
    <w:rsid w:val="00503338"/>
    <w:rsid w:val="005037A2"/>
    <w:rsid w:val="00503F4F"/>
    <w:rsid w:val="005056E5"/>
    <w:rsid w:val="00505EE0"/>
    <w:rsid w:val="00510450"/>
    <w:rsid w:val="00513EEB"/>
    <w:rsid w:val="0051495C"/>
    <w:rsid w:val="00514F54"/>
    <w:rsid w:val="00515ED3"/>
    <w:rsid w:val="005165F2"/>
    <w:rsid w:val="00525802"/>
    <w:rsid w:val="00527004"/>
    <w:rsid w:val="005318DB"/>
    <w:rsid w:val="00531BF9"/>
    <w:rsid w:val="00532CA7"/>
    <w:rsid w:val="00534124"/>
    <w:rsid w:val="005358AD"/>
    <w:rsid w:val="005416F3"/>
    <w:rsid w:val="00542230"/>
    <w:rsid w:val="00544A5B"/>
    <w:rsid w:val="00544CAF"/>
    <w:rsid w:val="00547D40"/>
    <w:rsid w:val="0055271B"/>
    <w:rsid w:val="00552AC1"/>
    <w:rsid w:val="00553B4C"/>
    <w:rsid w:val="0055499D"/>
    <w:rsid w:val="00556C16"/>
    <w:rsid w:val="005601E2"/>
    <w:rsid w:val="00560413"/>
    <w:rsid w:val="00560D31"/>
    <w:rsid w:val="00562DC3"/>
    <w:rsid w:val="00564E8C"/>
    <w:rsid w:val="00565DBA"/>
    <w:rsid w:val="005726DF"/>
    <w:rsid w:val="00573283"/>
    <w:rsid w:val="005742A8"/>
    <w:rsid w:val="00580D0D"/>
    <w:rsid w:val="00581FCC"/>
    <w:rsid w:val="00582E23"/>
    <w:rsid w:val="005839A8"/>
    <w:rsid w:val="00585160"/>
    <w:rsid w:val="00587977"/>
    <w:rsid w:val="00593F7D"/>
    <w:rsid w:val="0059794F"/>
    <w:rsid w:val="00597BD1"/>
    <w:rsid w:val="005A0B11"/>
    <w:rsid w:val="005A7832"/>
    <w:rsid w:val="005B1DA4"/>
    <w:rsid w:val="005B443F"/>
    <w:rsid w:val="005B5AF1"/>
    <w:rsid w:val="005C0B85"/>
    <w:rsid w:val="005D2D17"/>
    <w:rsid w:val="005D3B06"/>
    <w:rsid w:val="005D4967"/>
    <w:rsid w:val="005D6674"/>
    <w:rsid w:val="005E09F2"/>
    <w:rsid w:val="005E1A7B"/>
    <w:rsid w:val="005E1C96"/>
    <w:rsid w:val="005E2E50"/>
    <w:rsid w:val="005E3866"/>
    <w:rsid w:val="005E3A96"/>
    <w:rsid w:val="005E78B5"/>
    <w:rsid w:val="005F0322"/>
    <w:rsid w:val="005F10D9"/>
    <w:rsid w:val="005F3974"/>
    <w:rsid w:val="005F496A"/>
    <w:rsid w:val="005F5638"/>
    <w:rsid w:val="005F74EB"/>
    <w:rsid w:val="00602944"/>
    <w:rsid w:val="00604F21"/>
    <w:rsid w:val="00610BAE"/>
    <w:rsid w:val="00613CA4"/>
    <w:rsid w:val="006153B2"/>
    <w:rsid w:val="00617870"/>
    <w:rsid w:val="006211A1"/>
    <w:rsid w:val="00621586"/>
    <w:rsid w:val="00621BA5"/>
    <w:rsid w:val="00622C8D"/>
    <w:rsid w:val="006243A6"/>
    <w:rsid w:val="00626072"/>
    <w:rsid w:val="0062666D"/>
    <w:rsid w:val="00626FA5"/>
    <w:rsid w:val="00634942"/>
    <w:rsid w:val="00634A9E"/>
    <w:rsid w:val="0063671C"/>
    <w:rsid w:val="0064156C"/>
    <w:rsid w:val="00642657"/>
    <w:rsid w:val="00643095"/>
    <w:rsid w:val="006450EF"/>
    <w:rsid w:val="006469B3"/>
    <w:rsid w:val="00646F51"/>
    <w:rsid w:val="006507C5"/>
    <w:rsid w:val="00652EBD"/>
    <w:rsid w:val="00653F48"/>
    <w:rsid w:val="00654761"/>
    <w:rsid w:val="00655C8A"/>
    <w:rsid w:val="00656EA3"/>
    <w:rsid w:val="00660998"/>
    <w:rsid w:val="00661BE9"/>
    <w:rsid w:val="00662CE7"/>
    <w:rsid w:val="0066533F"/>
    <w:rsid w:val="006653B8"/>
    <w:rsid w:val="00667971"/>
    <w:rsid w:val="006702CF"/>
    <w:rsid w:val="0067276A"/>
    <w:rsid w:val="0067488D"/>
    <w:rsid w:val="0067540C"/>
    <w:rsid w:val="006776CE"/>
    <w:rsid w:val="006779F5"/>
    <w:rsid w:val="006837BE"/>
    <w:rsid w:val="00683FEA"/>
    <w:rsid w:val="0068783E"/>
    <w:rsid w:val="00692DC1"/>
    <w:rsid w:val="00694D84"/>
    <w:rsid w:val="00696126"/>
    <w:rsid w:val="006A07C6"/>
    <w:rsid w:val="006A20CC"/>
    <w:rsid w:val="006A3494"/>
    <w:rsid w:val="006A7B01"/>
    <w:rsid w:val="006B5865"/>
    <w:rsid w:val="006B62E6"/>
    <w:rsid w:val="006B65E8"/>
    <w:rsid w:val="006C0D89"/>
    <w:rsid w:val="006C2722"/>
    <w:rsid w:val="006C5C20"/>
    <w:rsid w:val="006C7B54"/>
    <w:rsid w:val="006D0093"/>
    <w:rsid w:val="006D097A"/>
    <w:rsid w:val="006D14E9"/>
    <w:rsid w:val="006D18B4"/>
    <w:rsid w:val="006D2857"/>
    <w:rsid w:val="006D2C69"/>
    <w:rsid w:val="006D457D"/>
    <w:rsid w:val="006D5AB1"/>
    <w:rsid w:val="006D62C9"/>
    <w:rsid w:val="006D647C"/>
    <w:rsid w:val="006E213F"/>
    <w:rsid w:val="006E235A"/>
    <w:rsid w:val="006E432E"/>
    <w:rsid w:val="006E6B33"/>
    <w:rsid w:val="006E73F0"/>
    <w:rsid w:val="006F223E"/>
    <w:rsid w:val="006F42AC"/>
    <w:rsid w:val="006F5C3E"/>
    <w:rsid w:val="006F6FEA"/>
    <w:rsid w:val="006F7BED"/>
    <w:rsid w:val="00703502"/>
    <w:rsid w:val="00703D6E"/>
    <w:rsid w:val="007077D8"/>
    <w:rsid w:val="00713419"/>
    <w:rsid w:val="007168A3"/>
    <w:rsid w:val="007179AC"/>
    <w:rsid w:val="00722DA8"/>
    <w:rsid w:val="00722F1B"/>
    <w:rsid w:val="0073057C"/>
    <w:rsid w:val="007319C2"/>
    <w:rsid w:val="00731AEF"/>
    <w:rsid w:val="00735DC9"/>
    <w:rsid w:val="007419BC"/>
    <w:rsid w:val="007439D0"/>
    <w:rsid w:val="00744582"/>
    <w:rsid w:val="00744ADC"/>
    <w:rsid w:val="00747BAE"/>
    <w:rsid w:val="00751336"/>
    <w:rsid w:val="00752C40"/>
    <w:rsid w:val="00752E3D"/>
    <w:rsid w:val="00755864"/>
    <w:rsid w:val="007625A6"/>
    <w:rsid w:val="00764379"/>
    <w:rsid w:val="00764D82"/>
    <w:rsid w:val="00770D9D"/>
    <w:rsid w:val="00771AA4"/>
    <w:rsid w:val="007768A0"/>
    <w:rsid w:val="00781D56"/>
    <w:rsid w:val="00782825"/>
    <w:rsid w:val="007840AA"/>
    <w:rsid w:val="00784452"/>
    <w:rsid w:val="00794ADA"/>
    <w:rsid w:val="007962AC"/>
    <w:rsid w:val="007964D9"/>
    <w:rsid w:val="007976C9"/>
    <w:rsid w:val="007A0139"/>
    <w:rsid w:val="007A2FA7"/>
    <w:rsid w:val="007A2FB7"/>
    <w:rsid w:val="007A50AC"/>
    <w:rsid w:val="007A5327"/>
    <w:rsid w:val="007B1D1A"/>
    <w:rsid w:val="007B214D"/>
    <w:rsid w:val="007B3064"/>
    <w:rsid w:val="007B475F"/>
    <w:rsid w:val="007B7465"/>
    <w:rsid w:val="007C07E9"/>
    <w:rsid w:val="007C3729"/>
    <w:rsid w:val="007C3C31"/>
    <w:rsid w:val="007C5C0F"/>
    <w:rsid w:val="007C7B0F"/>
    <w:rsid w:val="007D1EA2"/>
    <w:rsid w:val="007D4371"/>
    <w:rsid w:val="007E0BC7"/>
    <w:rsid w:val="007E3EDB"/>
    <w:rsid w:val="007E45BE"/>
    <w:rsid w:val="007E5E54"/>
    <w:rsid w:val="007E65BC"/>
    <w:rsid w:val="007E7242"/>
    <w:rsid w:val="007E7567"/>
    <w:rsid w:val="007F0B0A"/>
    <w:rsid w:val="007F0B3A"/>
    <w:rsid w:val="007F104C"/>
    <w:rsid w:val="007F7A1B"/>
    <w:rsid w:val="0080053F"/>
    <w:rsid w:val="00800C38"/>
    <w:rsid w:val="00800C8E"/>
    <w:rsid w:val="00800D70"/>
    <w:rsid w:val="008051BA"/>
    <w:rsid w:val="008109E1"/>
    <w:rsid w:val="008110E5"/>
    <w:rsid w:val="0081160C"/>
    <w:rsid w:val="00811C28"/>
    <w:rsid w:val="00812BA8"/>
    <w:rsid w:val="008151FB"/>
    <w:rsid w:val="00816CE7"/>
    <w:rsid w:val="008243EC"/>
    <w:rsid w:val="0082546B"/>
    <w:rsid w:val="008262E1"/>
    <w:rsid w:val="00836418"/>
    <w:rsid w:val="00841047"/>
    <w:rsid w:val="00841CB8"/>
    <w:rsid w:val="00843631"/>
    <w:rsid w:val="00846321"/>
    <w:rsid w:val="00847320"/>
    <w:rsid w:val="0085294D"/>
    <w:rsid w:val="00853976"/>
    <w:rsid w:val="0085772C"/>
    <w:rsid w:val="00863A02"/>
    <w:rsid w:val="0086476F"/>
    <w:rsid w:val="00867337"/>
    <w:rsid w:val="00872745"/>
    <w:rsid w:val="00872AB8"/>
    <w:rsid w:val="00873D1D"/>
    <w:rsid w:val="00875AD8"/>
    <w:rsid w:val="00880A6F"/>
    <w:rsid w:val="008812F1"/>
    <w:rsid w:val="00883E8E"/>
    <w:rsid w:val="0088456E"/>
    <w:rsid w:val="0088530A"/>
    <w:rsid w:val="00885C04"/>
    <w:rsid w:val="008860EA"/>
    <w:rsid w:val="00887780"/>
    <w:rsid w:val="00891427"/>
    <w:rsid w:val="00892FFC"/>
    <w:rsid w:val="00894130"/>
    <w:rsid w:val="00894A98"/>
    <w:rsid w:val="008A0088"/>
    <w:rsid w:val="008A0689"/>
    <w:rsid w:val="008A0FB6"/>
    <w:rsid w:val="008A3F21"/>
    <w:rsid w:val="008A41A1"/>
    <w:rsid w:val="008B2553"/>
    <w:rsid w:val="008B338C"/>
    <w:rsid w:val="008B3C62"/>
    <w:rsid w:val="008B488E"/>
    <w:rsid w:val="008B5510"/>
    <w:rsid w:val="008B6716"/>
    <w:rsid w:val="008B6BAF"/>
    <w:rsid w:val="008C2321"/>
    <w:rsid w:val="008C252D"/>
    <w:rsid w:val="008C29E0"/>
    <w:rsid w:val="008C5765"/>
    <w:rsid w:val="008D2CCB"/>
    <w:rsid w:val="008D3D2B"/>
    <w:rsid w:val="008D51CF"/>
    <w:rsid w:val="008E044E"/>
    <w:rsid w:val="008E1BB0"/>
    <w:rsid w:val="008E264B"/>
    <w:rsid w:val="008E43B4"/>
    <w:rsid w:val="008E43E8"/>
    <w:rsid w:val="008E7D54"/>
    <w:rsid w:val="008F0F30"/>
    <w:rsid w:val="008F4FB4"/>
    <w:rsid w:val="008F63AC"/>
    <w:rsid w:val="00901D3A"/>
    <w:rsid w:val="0090418A"/>
    <w:rsid w:val="00905047"/>
    <w:rsid w:val="009102E6"/>
    <w:rsid w:val="00916D5B"/>
    <w:rsid w:val="009234F9"/>
    <w:rsid w:val="0092686B"/>
    <w:rsid w:val="0092695A"/>
    <w:rsid w:val="00930AF2"/>
    <w:rsid w:val="00931408"/>
    <w:rsid w:val="009315D2"/>
    <w:rsid w:val="009350C0"/>
    <w:rsid w:val="00935498"/>
    <w:rsid w:val="00937EDE"/>
    <w:rsid w:val="0094134A"/>
    <w:rsid w:val="009423A6"/>
    <w:rsid w:val="009451AB"/>
    <w:rsid w:val="00950BEE"/>
    <w:rsid w:val="00955641"/>
    <w:rsid w:val="009627EB"/>
    <w:rsid w:val="00963C30"/>
    <w:rsid w:val="0096417D"/>
    <w:rsid w:val="00964D53"/>
    <w:rsid w:val="00964D66"/>
    <w:rsid w:val="00965857"/>
    <w:rsid w:val="00967468"/>
    <w:rsid w:val="00970DA4"/>
    <w:rsid w:val="00974D50"/>
    <w:rsid w:val="009771A7"/>
    <w:rsid w:val="00982C23"/>
    <w:rsid w:val="00983191"/>
    <w:rsid w:val="00984015"/>
    <w:rsid w:val="00985CD0"/>
    <w:rsid w:val="00986C4C"/>
    <w:rsid w:val="0099084A"/>
    <w:rsid w:val="00990985"/>
    <w:rsid w:val="00991F59"/>
    <w:rsid w:val="009927DB"/>
    <w:rsid w:val="00992BD4"/>
    <w:rsid w:val="00994015"/>
    <w:rsid w:val="00996692"/>
    <w:rsid w:val="009A0641"/>
    <w:rsid w:val="009A08EC"/>
    <w:rsid w:val="009A2569"/>
    <w:rsid w:val="009A5101"/>
    <w:rsid w:val="009A69A1"/>
    <w:rsid w:val="009A6D11"/>
    <w:rsid w:val="009A79B6"/>
    <w:rsid w:val="009A7A49"/>
    <w:rsid w:val="009A7C2E"/>
    <w:rsid w:val="009B03A7"/>
    <w:rsid w:val="009B2FA8"/>
    <w:rsid w:val="009B382D"/>
    <w:rsid w:val="009B62BF"/>
    <w:rsid w:val="009C22E4"/>
    <w:rsid w:val="009C7C1B"/>
    <w:rsid w:val="009D0182"/>
    <w:rsid w:val="009D032C"/>
    <w:rsid w:val="009D3386"/>
    <w:rsid w:val="009D3CA5"/>
    <w:rsid w:val="009D5C88"/>
    <w:rsid w:val="009E2BC9"/>
    <w:rsid w:val="009E3132"/>
    <w:rsid w:val="009E4613"/>
    <w:rsid w:val="009E61C4"/>
    <w:rsid w:val="009F7728"/>
    <w:rsid w:val="00A006BA"/>
    <w:rsid w:val="00A00C0D"/>
    <w:rsid w:val="00A03520"/>
    <w:rsid w:val="00A036F6"/>
    <w:rsid w:val="00A04D73"/>
    <w:rsid w:val="00A053F0"/>
    <w:rsid w:val="00A10077"/>
    <w:rsid w:val="00A1188A"/>
    <w:rsid w:val="00A12CA5"/>
    <w:rsid w:val="00A13C07"/>
    <w:rsid w:val="00A1536E"/>
    <w:rsid w:val="00A16742"/>
    <w:rsid w:val="00A179EA"/>
    <w:rsid w:val="00A22EE3"/>
    <w:rsid w:val="00A2366B"/>
    <w:rsid w:val="00A23B53"/>
    <w:rsid w:val="00A24D3C"/>
    <w:rsid w:val="00A30535"/>
    <w:rsid w:val="00A406F8"/>
    <w:rsid w:val="00A40CCD"/>
    <w:rsid w:val="00A4224E"/>
    <w:rsid w:val="00A42E2C"/>
    <w:rsid w:val="00A447DC"/>
    <w:rsid w:val="00A4575A"/>
    <w:rsid w:val="00A50956"/>
    <w:rsid w:val="00A52749"/>
    <w:rsid w:val="00A54292"/>
    <w:rsid w:val="00A5460B"/>
    <w:rsid w:val="00A56C46"/>
    <w:rsid w:val="00A578DA"/>
    <w:rsid w:val="00A6041E"/>
    <w:rsid w:val="00A6095A"/>
    <w:rsid w:val="00A613EB"/>
    <w:rsid w:val="00A616B2"/>
    <w:rsid w:val="00A62880"/>
    <w:rsid w:val="00A64906"/>
    <w:rsid w:val="00A64E8D"/>
    <w:rsid w:val="00A6533A"/>
    <w:rsid w:val="00A70FE4"/>
    <w:rsid w:val="00A7181D"/>
    <w:rsid w:val="00A76F09"/>
    <w:rsid w:val="00A804DF"/>
    <w:rsid w:val="00A80DF0"/>
    <w:rsid w:val="00A8160E"/>
    <w:rsid w:val="00A82F1E"/>
    <w:rsid w:val="00A85991"/>
    <w:rsid w:val="00A918EE"/>
    <w:rsid w:val="00A9249A"/>
    <w:rsid w:val="00A924FF"/>
    <w:rsid w:val="00A927A3"/>
    <w:rsid w:val="00A92A15"/>
    <w:rsid w:val="00A9547E"/>
    <w:rsid w:val="00A955DB"/>
    <w:rsid w:val="00A96A41"/>
    <w:rsid w:val="00A96F44"/>
    <w:rsid w:val="00A97B40"/>
    <w:rsid w:val="00AA0BFA"/>
    <w:rsid w:val="00AA0E15"/>
    <w:rsid w:val="00AA21EF"/>
    <w:rsid w:val="00AA262F"/>
    <w:rsid w:val="00AA45D5"/>
    <w:rsid w:val="00AB6B99"/>
    <w:rsid w:val="00AC1B51"/>
    <w:rsid w:val="00AC41CB"/>
    <w:rsid w:val="00AC4602"/>
    <w:rsid w:val="00AC5932"/>
    <w:rsid w:val="00AD1370"/>
    <w:rsid w:val="00AD25F5"/>
    <w:rsid w:val="00AD4C94"/>
    <w:rsid w:val="00AD6C51"/>
    <w:rsid w:val="00AD72FB"/>
    <w:rsid w:val="00AD7C61"/>
    <w:rsid w:val="00AE004F"/>
    <w:rsid w:val="00AE500E"/>
    <w:rsid w:val="00AE556D"/>
    <w:rsid w:val="00AE5951"/>
    <w:rsid w:val="00AE7526"/>
    <w:rsid w:val="00AF50AD"/>
    <w:rsid w:val="00AF6527"/>
    <w:rsid w:val="00AF669D"/>
    <w:rsid w:val="00AF6C2C"/>
    <w:rsid w:val="00AF73F0"/>
    <w:rsid w:val="00B01324"/>
    <w:rsid w:val="00B02655"/>
    <w:rsid w:val="00B03936"/>
    <w:rsid w:val="00B03AD8"/>
    <w:rsid w:val="00B05D78"/>
    <w:rsid w:val="00B06191"/>
    <w:rsid w:val="00B066E0"/>
    <w:rsid w:val="00B13F7E"/>
    <w:rsid w:val="00B14028"/>
    <w:rsid w:val="00B163C3"/>
    <w:rsid w:val="00B17D45"/>
    <w:rsid w:val="00B222BA"/>
    <w:rsid w:val="00B22B7C"/>
    <w:rsid w:val="00B26945"/>
    <w:rsid w:val="00B3140B"/>
    <w:rsid w:val="00B321C5"/>
    <w:rsid w:val="00B329ED"/>
    <w:rsid w:val="00B3626C"/>
    <w:rsid w:val="00B41A8F"/>
    <w:rsid w:val="00B42489"/>
    <w:rsid w:val="00B42EFD"/>
    <w:rsid w:val="00B43292"/>
    <w:rsid w:val="00B45AFF"/>
    <w:rsid w:val="00B46996"/>
    <w:rsid w:val="00B46DA6"/>
    <w:rsid w:val="00B550B1"/>
    <w:rsid w:val="00B5521B"/>
    <w:rsid w:val="00B5598C"/>
    <w:rsid w:val="00B566B6"/>
    <w:rsid w:val="00B56CC8"/>
    <w:rsid w:val="00B56FB9"/>
    <w:rsid w:val="00B61238"/>
    <w:rsid w:val="00B61559"/>
    <w:rsid w:val="00B63179"/>
    <w:rsid w:val="00B645F8"/>
    <w:rsid w:val="00B653E7"/>
    <w:rsid w:val="00B67BD9"/>
    <w:rsid w:val="00B71722"/>
    <w:rsid w:val="00B73055"/>
    <w:rsid w:val="00B7440A"/>
    <w:rsid w:val="00B77992"/>
    <w:rsid w:val="00B77A02"/>
    <w:rsid w:val="00B80879"/>
    <w:rsid w:val="00B917F2"/>
    <w:rsid w:val="00B926CA"/>
    <w:rsid w:val="00B93E70"/>
    <w:rsid w:val="00B94003"/>
    <w:rsid w:val="00B9682A"/>
    <w:rsid w:val="00B97D69"/>
    <w:rsid w:val="00B97EAD"/>
    <w:rsid w:val="00BA02E9"/>
    <w:rsid w:val="00BA2C41"/>
    <w:rsid w:val="00BA5804"/>
    <w:rsid w:val="00BA67B1"/>
    <w:rsid w:val="00BB024A"/>
    <w:rsid w:val="00BB0494"/>
    <w:rsid w:val="00BB0A78"/>
    <w:rsid w:val="00BB1A76"/>
    <w:rsid w:val="00BB221B"/>
    <w:rsid w:val="00BB24FE"/>
    <w:rsid w:val="00BB4682"/>
    <w:rsid w:val="00BB4D65"/>
    <w:rsid w:val="00BB5DF6"/>
    <w:rsid w:val="00BB61C3"/>
    <w:rsid w:val="00BB67C4"/>
    <w:rsid w:val="00BB7B3E"/>
    <w:rsid w:val="00BC126A"/>
    <w:rsid w:val="00BC1AB1"/>
    <w:rsid w:val="00BC2270"/>
    <w:rsid w:val="00BC505F"/>
    <w:rsid w:val="00BC5A0C"/>
    <w:rsid w:val="00BC60CC"/>
    <w:rsid w:val="00BC7A37"/>
    <w:rsid w:val="00BD20AB"/>
    <w:rsid w:val="00BD3A1A"/>
    <w:rsid w:val="00BE01F7"/>
    <w:rsid w:val="00BE3034"/>
    <w:rsid w:val="00BE4D81"/>
    <w:rsid w:val="00BE60AD"/>
    <w:rsid w:val="00BE71D4"/>
    <w:rsid w:val="00BF0A10"/>
    <w:rsid w:val="00BF2890"/>
    <w:rsid w:val="00BF5554"/>
    <w:rsid w:val="00BF59A8"/>
    <w:rsid w:val="00C033B9"/>
    <w:rsid w:val="00C0457C"/>
    <w:rsid w:val="00C04CFC"/>
    <w:rsid w:val="00C06257"/>
    <w:rsid w:val="00C071AF"/>
    <w:rsid w:val="00C139F3"/>
    <w:rsid w:val="00C158E0"/>
    <w:rsid w:val="00C179A3"/>
    <w:rsid w:val="00C24825"/>
    <w:rsid w:val="00C24D47"/>
    <w:rsid w:val="00C26175"/>
    <w:rsid w:val="00C26719"/>
    <w:rsid w:val="00C3268E"/>
    <w:rsid w:val="00C33EFA"/>
    <w:rsid w:val="00C373C1"/>
    <w:rsid w:val="00C4005D"/>
    <w:rsid w:val="00C431EC"/>
    <w:rsid w:val="00C43E27"/>
    <w:rsid w:val="00C45389"/>
    <w:rsid w:val="00C47F9A"/>
    <w:rsid w:val="00C50B8B"/>
    <w:rsid w:val="00C53475"/>
    <w:rsid w:val="00C54BA5"/>
    <w:rsid w:val="00C5747D"/>
    <w:rsid w:val="00C60BA2"/>
    <w:rsid w:val="00C611F0"/>
    <w:rsid w:val="00C6198C"/>
    <w:rsid w:val="00C639E6"/>
    <w:rsid w:val="00C654EA"/>
    <w:rsid w:val="00C6619C"/>
    <w:rsid w:val="00C672A0"/>
    <w:rsid w:val="00C85C58"/>
    <w:rsid w:val="00C86F92"/>
    <w:rsid w:val="00C87032"/>
    <w:rsid w:val="00C9044D"/>
    <w:rsid w:val="00C941BC"/>
    <w:rsid w:val="00C94522"/>
    <w:rsid w:val="00C97136"/>
    <w:rsid w:val="00CA138D"/>
    <w:rsid w:val="00CA3914"/>
    <w:rsid w:val="00CA3B1C"/>
    <w:rsid w:val="00CA3F0C"/>
    <w:rsid w:val="00CA5527"/>
    <w:rsid w:val="00CA6B3A"/>
    <w:rsid w:val="00CB1193"/>
    <w:rsid w:val="00CB30B6"/>
    <w:rsid w:val="00CB345F"/>
    <w:rsid w:val="00CC0044"/>
    <w:rsid w:val="00CC04A2"/>
    <w:rsid w:val="00CC28F5"/>
    <w:rsid w:val="00CC3005"/>
    <w:rsid w:val="00CC4970"/>
    <w:rsid w:val="00CC5D9E"/>
    <w:rsid w:val="00CC7E80"/>
    <w:rsid w:val="00CD135B"/>
    <w:rsid w:val="00CD62D6"/>
    <w:rsid w:val="00CD7CD8"/>
    <w:rsid w:val="00CE09BE"/>
    <w:rsid w:val="00CE0C4C"/>
    <w:rsid w:val="00CE0CF1"/>
    <w:rsid w:val="00CE3A00"/>
    <w:rsid w:val="00CE4614"/>
    <w:rsid w:val="00CE5C18"/>
    <w:rsid w:val="00CF5B02"/>
    <w:rsid w:val="00CF62C9"/>
    <w:rsid w:val="00CF7C90"/>
    <w:rsid w:val="00CF7FB0"/>
    <w:rsid w:val="00D000CD"/>
    <w:rsid w:val="00D0197E"/>
    <w:rsid w:val="00D06675"/>
    <w:rsid w:val="00D101F6"/>
    <w:rsid w:val="00D10420"/>
    <w:rsid w:val="00D11AC4"/>
    <w:rsid w:val="00D207DF"/>
    <w:rsid w:val="00D26984"/>
    <w:rsid w:val="00D27006"/>
    <w:rsid w:val="00D32D45"/>
    <w:rsid w:val="00D35040"/>
    <w:rsid w:val="00D3504A"/>
    <w:rsid w:val="00D373BB"/>
    <w:rsid w:val="00D41C1F"/>
    <w:rsid w:val="00D44425"/>
    <w:rsid w:val="00D5169A"/>
    <w:rsid w:val="00D52268"/>
    <w:rsid w:val="00D534A3"/>
    <w:rsid w:val="00D54CC5"/>
    <w:rsid w:val="00D56879"/>
    <w:rsid w:val="00D66B46"/>
    <w:rsid w:val="00D673F0"/>
    <w:rsid w:val="00D73F3A"/>
    <w:rsid w:val="00D755E7"/>
    <w:rsid w:val="00D832C7"/>
    <w:rsid w:val="00D835BD"/>
    <w:rsid w:val="00D87E35"/>
    <w:rsid w:val="00D93264"/>
    <w:rsid w:val="00D9554B"/>
    <w:rsid w:val="00D95AD9"/>
    <w:rsid w:val="00DA293E"/>
    <w:rsid w:val="00DA37BC"/>
    <w:rsid w:val="00DA456F"/>
    <w:rsid w:val="00DB06C4"/>
    <w:rsid w:val="00DB1264"/>
    <w:rsid w:val="00DB2B6A"/>
    <w:rsid w:val="00DB2DE2"/>
    <w:rsid w:val="00DB345E"/>
    <w:rsid w:val="00DB46AD"/>
    <w:rsid w:val="00DB4835"/>
    <w:rsid w:val="00DC0F30"/>
    <w:rsid w:val="00DC4834"/>
    <w:rsid w:val="00DC60F1"/>
    <w:rsid w:val="00DC79DD"/>
    <w:rsid w:val="00DD1BE9"/>
    <w:rsid w:val="00DD48C7"/>
    <w:rsid w:val="00DD7142"/>
    <w:rsid w:val="00DE0B92"/>
    <w:rsid w:val="00DE1D3A"/>
    <w:rsid w:val="00DE2A3B"/>
    <w:rsid w:val="00DE60E0"/>
    <w:rsid w:val="00DF2040"/>
    <w:rsid w:val="00DF27D7"/>
    <w:rsid w:val="00DF2AED"/>
    <w:rsid w:val="00DF34A4"/>
    <w:rsid w:val="00DF5187"/>
    <w:rsid w:val="00DF5706"/>
    <w:rsid w:val="00DF68A6"/>
    <w:rsid w:val="00DF7099"/>
    <w:rsid w:val="00DF7E58"/>
    <w:rsid w:val="00E0035A"/>
    <w:rsid w:val="00E012D1"/>
    <w:rsid w:val="00E06F2F"/>
    <w:rsid w:val="00E07244"/>
    <w:rsid w:val="00E073D1"/>
    <w:rsid w:val="00E07439"/>
    <w:rsid w:val="00E11D95"/>
    <w:rsid w:val="00E132C4"/>
    <w:rsid w:val="00E17599"/>
    <w:rsid w:val="00E20B3B"/>
    <w:rsid w:val="00E2140C"/>
    <w:rsid w:val="00E227E9"/>
    <w:rsid w:val="00E22EA2"/>
    <w:rsid w:val="00E22EEC"/>
    <w:rsid w:val="00E23838"/>
    <w:rsid w:val="00E23C17"/>
    <w:rsid w:val="00E267A3"/>
    <w:rsid w:val="00E26EF2"/>
    <w:rsid w:val="00E30B32"/>
    <w:rsid w:val="00E35C09"/>
    <w:rsid w:val="00E36F1F"/>
    <w:rsid w:val="00E40D91"/>
    <w:rsid w:val="00E42558"/>
    <w:rsid w:val="00E435F0"/>
    <w:rsid w:val="00E43A7D"/>
    <w:rsid w:val="00E44101"/>
    <w:rsid w:val="00E47ACA"/>
    <w:rsid w:val="00E51260"/>
    <w:rsid w:val="00E53551"/>
    <w:rsid w:val="00E60593"/>
    <w:rsid w:val="00E6062F"/>
    <w:rsid w:val="00E60E32"/>
    <w:rsid w:val="00E625FC"/>
    <w:rsid w:val="00E63203"/>
    <w:rsid w:val="00E63FF5"/>
    <w:rsid w:val="00E64B1F"/>
    <w:rsid w:val="00E6668A"/>
    <w:rsid w:val="00E6677B"/>
    <w:rsid w:val="00E67613"/>
    <w:rsid w:val="00E7191F"/>
    <w:rsid w:val="00E71C45"/>
    <w:rsid w:val="00E7247C"/>
    <w:rsid w:val="00E7780C"/>
    <w:rsid w:val="00E82167"/>
    <w:rsid w:val="00E82F3A"/>
    <w:rsid w:val="00E85774"/>
    <w:rsid w:val="00E85AD1"/>
    <w:rsid w:val="00E864C7"/>
    <w:rsid w:val="00E868E8"/>
    <w:rsid w:val="00E87A45"/>
    <w:rsid w:val="00E87D9A"/>
    <w:rsid w:val="00E910AF"/>
    <w:rsid w:val="00E912C5"/>
    <w:rsid w:val="00E934DC"/>
    <w:rsid w:val="00E97E9E"/>
    <w:rsid w:val="00EA2527"/>
    <w:rsid w:val="00EA2816"/>
    <w:rsid w:val="00EA2CB8"/>
    <w:rsid w:val="00EA49E0"/>
    <w:rsid w:val="00EA515D"/>
    <w:rsid w:val="00EA57BB"/>
    <w:rsid w:val="00EA70B6"/>
    <w:rsid w:val="00EA77FC"/>
    <w:rsid w:val="00EB0107"/>
    <w:rsid w:val="00EB3B3E"/>
    <w:rsid w:val="00EB4CE5"/>
    <w:rsid w:val="00EB6701"/>
    <w:rsid w:val="00EC050F"/>
    <w:rsid w:val="00EC07B1"/>
    <w:rsid w:val="00EC0D2F"/>
    <w:rsid w:val="00EC5338"/>
    <w:rsid w:val="00ED62FA"/>
    <w:rsid w:val="00ED76E5"/>
    <w:rsid w:val="00EE1AF6"/>
    <w:rsid w:val="00EE1BA1"/>
    <w:rsid w:val="00EE3DCA"/>
    <w:rsid w:val="00EE4CCC"/>
    <w:rsid w:val="00EE6DCB"/>
    <w:rsid w:val="00EF25E2"/>
    <w:rsid w:val="00F0030D"/>
    <w:rsid w:val="00F00DD2"/>
    <w:rsid w:val="00F01485"/>
    <w:rsid w:val="00F067BE"/>
    <w:rsid w:val="00F10289"/>
    <w:rsid w:val="00F10693"/>
    <w:rsid w:val="00F14B66"/>
    <w:rsid w:val="00F171FA"/>
    <w:rsid w:val="00F2124A"/>
    <w:rsid w:val="00F2223B"/>
    <w:rsid w:val="00F24DD7"/>
    <w:rsid w:val="00F26A6C"/>
    <w:rsid w:val="00F26D05"/>
    <w:rsid w:val="00F3149E"/>
    <w:rsid w:val="00F316D6"/>
    <w:rsid w:val="00F32631"/>
    <w:rsid w:val="00F33BD0"/>
    <w:rsid w:val="00F35322"/>
    <w:rsid w:val="00F50DF6"/>
    <w:rsid w:val="00F5194A"/>
    <w:rsid w:val="00F521C7"/>
    <w:rsid w:val="00F60B64"/>
    <w:rsid w:val="00F63904"/>
    <w:rsid w:val="00F648DF"/>
    <w:rsid w:val="00F65709"/>
    <w:rsid w:val="00F678D1"/>
    <w:rsid w:val="00F73643"/>
    <w:rsid w:val="00F7374D"/>
    <w:rsid w:val="00F73F97"/>
    <w:rsid w:val="00F75819"/>
    <w:rsid w:val="00F76751"/>
    <w:rsid w:val="00F77C15"/>
    <w:rsid w:val="00F77CA1"/>
    <w:rsid w:val="00F80480"/>
    <w:rsid w:val="00F84959"/>
    <w:rsid w:val="00F900CE"/>
    <w:rsid w:val="00F908C8"/>
    <w:rsid w:val="00F91CF5"/>
    <w:rsid w:val="00F94AAD"/>
    <w:rsid w:val="00F9502C"/>
    <w:rsid w:val="00F95225"/>
    <w:rsid w:val="00F96F79"/>
    <w:rsid w:val="00F97407"/>
    <w:rsid w:val="00F97FF5"/>
    <w:rsid w:val="00FA0ADB"/>
    <w:rsid w:val="00FA0C8F"/>
    <w:rsid w:val="00FA1692"/>
    <w:rsid w:val="00FA1CBF"/>
    <w:rsid w:val="00FA316C"/>
    <w:rsid w:val="00FA5D64"/>
    <w:rsid w:val="00FB2DAD"/>
    <w:rsid w:val="00FC26CC"/>
    <w:rsid w:val="00FC381F"/>
    <w:rsid w:val="00FC5247"/>
    <w:rsid w:val="00FC69B0"/>
    <w:rsid w:val="00FC6B82"/>
    <w:rsid w:val="00FC6CE7"/>
    <w:rsid w:val="00FD1736"/>
    <w:rsid w:val="00FD26FC"/>
    <w:rsid w:val="00FD6ED6"/>
    <w:rsid w:val="00FE053A"/>
    <w:rsid w:val="00FE14EE"/>
    <w:rsid w:val="00FE1891"/>
    <w:rsid w:val="00FE2932"/>
    <w:rsid w:val="00FE42FF"/>
    <w:rsid w:val="00FE4301"/>
    <w:rsid w:val="00FE5462"/>
    <w:rsid w:val="00FE7704"/>
    <w:rsid w:val="00FF510C"/>
    <w:rsid w:val="00FF5708"/>
    <w:rsid w:val="00FF7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266C9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A92A15"/>
    <w:pPr>
      <w:spacing w:after="0" w:line="260" w:lineRule="atLeast"/>
      <w:ind w:hanging="358"/>
    </w:pPr>
    <w:rPr>
      <w:rFonts w:ascii="Book Antiqua" w:eastAsia="Times New Roman" w:hAnsi="Book Antiqua" w:cs="Times New Roman"/>
      <w:sz w:val="20"/>
      <w:szCs w:val="24"/>
      <w:lang w:val="nl-NL" w:eastAsia="nl-NL"/>
    </w:rPr>
  </w:style>
  <w:style w:type="character" w:customStyle="1" w:styleId="Textkrper-ZeileneinzugZchn">
    <w:name w:val="Textkörper-Zeileneinzug Zchn"/>
    <w:basedOn w:val="Absatz-Standardschriftart"/>
    <w:link w:val="Textkrper-Zeileneinzug"/>
    <w:rsid w:val="00A92A15"/>
    <w:rPr>
      <w:rFonts w:ascii="Book Antiqua" w:eastAsia="Times New Roman" w:hAnsi="Book Antiqua" w:cs="Times New Roman"/>
      <w:sz w:val="20"/>
      <w:szCs w:val="24"/>
      <w:lang w:val="nl-NL" w:eastAsia="nl-NL"/>
    </w:rPr>
  </w:style>
  <w:style w:type="paragraph" w:styleId="Funotentext">
    <w:name w:val="footnote text"/>
    <w:basedOn w:val="Standard"/>
    <w:link w:val="FunotentextZchn"/>
    <w:uiPriority w:val="99"/>
    <w:unhideWhenUsed/>
    <w:rsid w:val="00A92A15"/>
    <w:pPr>
      <w:spacing w:after="0" w:line="240" w:lineRule="auto"/>
    </w:pPr>
    <w:rPr>
      <w:rFonts w:ascii="Times New Roman" w:hAnsi="Times New Roman" w:cs="Times New Roman"/>
      <w:sz w:val="20"/>
      <w:szCs w:val="20"/>
      <w:lang w:val="uk-UA"/>
    </w:rPr>
  </w:style>
  <w:style w:type="character" w:customStyle="1" w:styleId="FunotentextZchn">
    <w:name w:val="Fußnotentext Zchn"/>
    <w:basedOn w:val="Absatz-Standardschriftart"/>
    <w:link w:val="Funotentext"/>
    <w:uiPriority w:val="99"/>
    <w:rsid w:val="00A92A15"/>
    <w:rPr>
      <w:rFonts w:ascii="Times New Roman" w:hAnsi="Times New Roman" w:cs="Times New Roman"/>
      <w:sz w:val="20"/>
      <w:szCs w:val="20"/>
      <w:lang w:val="uk-UA"/>
    </w:rPr>
  </w:style>
  <w:style w:type="character" w:styleId="Funotenzeichen">
    <w:name w:val="footnote reference"/>
    <w:basedOn w:val="Absatz-Standardschriftart"/>
    <w:uiPriority w:val="99"/>
    <w:unhideWhenUsed/>
    <w:rsid w:val="00A92A15"/>
    <w:rPr>
      <w:vertAlign w:val="superscript"/>
    </w:rPr>
  </w:style>
  <w:style w:type="character" w:styleId="Hyperlink">
    <w:name w:val="Hyperlink"/>
    <w:basedOn w:val="Absatz-Standardschriftart"/>
    <w:uiPriority w:val="99"/>
    <w:unhideWhenUsed/>
    <w:rsid w:val="005F10D9"/>
    <w:rPr>
      <w:color w:val="0000FF" w:themeColor="hyperlink"/>
      <w:u w:val="single"/>
    </w:rPr>
  </w:style>
  <w:style w:type="character" w:styleId="BesuchterHyperlink">
    <w:name w:val="FollowedHyperlink"/>
    <w:basedOn w:val="Absatz-Standardschriftart"/>
    <w:uiPriority w:val="99"/>
    <w:semiHidden/>
    <w:unhideWhenUsed/>
    <w:rsid w:val="00DB345E"/>
    <w:rPr>
      <w:color w:val="800080" w:themeColor="followedHyperlink"/>
      <w:u w:val="single"/>
    </w:rPr>
  </w:style>
  <w:style w:type="paragraph" w:styleId="Listenabsatz">
    <w:name w:val="List Paragraph"/>
    <w:basedOn w:val="Standard"/>
    <w:uiPriority w:val="34"/>
    <w:qFormat/>
    <w:rsid w:val="00A447DC"/>
    <w:pPr>
      <w:ind w:left="720"/>
      <w:contextualSpacing/>
    </w:pPr>
  </w:style>
  <w:style w:type="paragraph" w:styleId="Kopfzeile">
    <w:name w:val="header"/>
    <w:basedOn w:val="Standard"/>
    <w:link w:val="KopfzeileZchn"/>
    <w:uiPriority w:val="99"/>
    <w:unhideWhenUsed/>
    <w:rsid w:val="00300512"/>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00512"/>
    <w:rPr>
      <w:lang w:val="en-GB"/>
    </w:rPr>
  </w:style>
  <w:style w:type="paragraph" w:styleId="Fuzeile">
    <w:name w:val="footer"/>
    <w:basedOn w:val="Standard"/>
    <w:link w:val="FuzeileZchn"/>
    <w:uiPriority w:val="99"/>
    <w:unhideWhenUsed/>
    <w:rsid w:val="00300512"/>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00512"/>
    <w:rPr>
      <w:lang w:val="en-GB"/>
    </w:rPr>
  </w:style>
  <w:style w:type="paragraph" w:styleId="Endnotentext">
    <w:name w:val="endnote text"/>
    <w:basedOn w:val="Standard"/>
    <w:link w:val="EndnotentextZchn"/>
    <w:uiPriority w:val="99"/>
    <w:semiHidden/>
    <w:unhideWhenUsed/>
    <w:rsid w:val="00BB61C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B61C3"/>
    <w:rPr>
      <w:sz w:val="20"/>
      <w:szCs w:val="20"/>
      <w:lang w:val="en-GB"/>
    </w:rPr>
  </w:style>
  <w:style w:type="character" w:styleId="Endnotenzeichen">
    <w:name w:val="endnote reference"/>
    <w:basedOn w:val="Absatz-Standardschriftart"/>
    <w:uiPriority w:val="99"/>
    <w:semiHidden/>
    <w:unhideWhenUsed/>
    <w:rsid w:val="00BB61C3"/>
    <w:rPr>
      <w:vertAlign w:val="superscript"/>
    </w:rPr>
  </w:style>
  <w:style w:type="character" w:customStyle="1" w:styleId="berschrift1Zchn">
    <w:name w:val="Überschrift 1 Zchn"/>
    <w:basedOn w:val="Absatz-Standardschriftart"/>
    <w:link w:val="berschrift1"/>
    <w:uiPriority w:val="9"/>
    <w:rsid w:val="00266C9D"/>
    <w:rPr>
      <w:rFonts w:asciiTheme="majorHAnsi" w:eastAsiaTheme="majorEastAsia" w:hAnsiTheme="majorHAnsi" w:cstheme="majorBidi"/>
      <w:b/>
      <w:bCs/>
      <w:color w:val="365F91" w:themeColor="accent1" w:themeShade="BF"/>
      <w:sz w:val="28"/>
      <w:szCs w:val="28"/>
      <w:lang w:eastAsia="ja-JP"/>
    </w:rPr>
  </w:style>
  <w:style w:type="paragraph" w:styleId="Sprechblasentext">
    <w:name w:val="Balloon Text"/>
    <w:basedOn w:val="Standard"/>
    <w:link w:val="SprechblasentextZchn"/>
    <w:uiPriority w:val="99"/>
    <w:semiHidden/>
    <w:unhideWhenUsed/>
    <w:rsid w:val="00266C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6C9D"/>
    <w:rPr>
      <w:rFonts w:ascii="Tahoma" w:hAnsi="Tahoma" w:cs="Tahoma"/>
      <w:sz w:val="16"/>
      <w:szCs w:val="16"/>
      <w:lang w:val="en-GB"/>
    </w:rPr>
  </w:style>
  <w:style w:type="paragraph" w:styleId="StandardWeb">
    <w:name w:val="Normal (Web)"/>
    <w:basedOn w:val="Standard"/>
    <w:uiPriority w:val="99"/>
    <w:unhideWhenUsed/>
    <w:rsid w:val="007E5E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bsatz-Standardschriftart"/>
    <w:rsid w:val="007E5E54"/>
  </w:style>
  <w:style w:type="paragraph" w:styleId="Beschriftung">
    <w:name w:val="caption"/>
    <w:basedOn w:val="Standard"/>
    <w:next w:val="Standard"/>
    <w:uiPriority w:val="35"/>
    <w:unhideWhenUsed/>
    <w:qFormat/>
    <w:rsid w:val="004A6C3F"/>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en-GB"/>
    </w:rPr>
  </w:style>
  <w:style w:type="paragraph" w:styleId="berschrift1">
    <w:name w:val="heading 1"/>
    <w:basedOn w:val="Standard"/>
    <w:next w:val="Standard"/>
    <w:link w:val="berschrift1Zchn"/>
    <w:uiPriority w:val="9"/>
    <w:qFormat/>
    <w:rsid w:val="00266C9D"/>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rsid w:val="00A92A15"/>
    <w:pPr>
      <w:spacing w:after="0" w:line="260" w:lineRule="atLeast"/>
      <w:ind w:hanging="358"/>
    </w:pPr>
    <w:rPr>
      <w:rFonts w:ascii="Book Antiqua" w:eastAsia="Times New Roman" w:hAnsi="Book Antiqua" w:cs="Times New Roman"/>
      <w:sz w:val="20"/>
      <w:szCs w:val="24"/>
      <w:lang w:val="nl-NL" w:eastAsia="nl-NL"/>
    </w:rPr>
  </w:style>
  <w:style w:type="character" w:customStyle="1" w:styleId="Textkrper-ZeileneinzugZchn">
    <w:name w:val="Textkörper-Zeileneinzug Zchn"/>
    <w:basedOn w:val="Absatz-Standardschriftart"/>
    <w:link w:val="Textkrper-Zeileneinzug"/>
    <w:rsid w:val="00A92A15"/>
    <w:rPr>
      <w:rFonts w:ascii="Book Antiqua" w:eastAsia="Times New Roman" w:hAnsi="Book Antiqua" w:cs="Times New Roman"/>
      <w:sz w:val="20"/>
      <w:szCs w:val="24"/>
      <w:lang w:val="nl-NL" w:eastAsia="nl-NL"/>
    </w:rPr>
  </w:style>
  <w:style w:type="paragraph" w:styleId="Funotentext">
    <w:name w:val="footnote text"/>
    <w:basedOn w:val="Standard"/>
    <w:link w:val="FunotentextZchn"/>
    <w:uiPriority w:val="99"/>
    <w:unhideWhenUsed/>
    <w:rsid w:val="00A92A15"/>
    <w:pPr>
      <w:spacing w:after="0" w:line="240" w:lineRule="auto"/>
    </w:pPr>
    <w:rPr>
      <w:rFonts w:ascii="Times New Roman" w:hAnsi="Times New Roman" w:cs="Times New Roman"/>
      <w:sz w:val="20"/>
      <w:szCs w:val="20"/>
      <w:lang w:val="uk-UA"/>
    </w:rPr>
  </w:style>
  <w:style w:type="character" w:customStyle="1" w:styleId="FunotentextZchn">
    <w:name w:val="Fußnotentext Zchn"/>
    <w:basedOn w:val="Absatz-Standardschriftart"/>
    <w:link w:val="Funotentext"/>
    <w:uiPriority w:val="99"/>
    <w:rsid w:val="00A92A15"/>
    <w:rPr>
      <w:rFonts w:ascii="Times New Roman" w:hAnsi="Times New Roman" w:cs="Times New Roman"/>
      <w:sz w:val="20"/>
      <w:szCs w:val="20"/>
      <w:lang w:val="uk-UA"/>
    </w:rPr>
  </w:style>
  <w:style w:type="character" w:styleId="Funotenzeichen">
    <w:name w:val="footnote reference"/>
    <w:basedOn w:val="Absatz-Standardschriftart"/>
    <w:uiPriority w:val="99"/>
    <w:unhideWhenUsed/>
    <w:rsid w:val="00A92A15"/>
    <w:rPr>
      <w:vertAlign w:val="superscript"/>
    </w:rPr>
  </w:style>
  <w:style w:type="character" w:styleId="Hyperlink">
    <w:name w:val="Hyperlink"/>
    <w:basedOn w:val="Absatz-Standardschriftart"/>
    <w:uiPriority w:val="99"/>
    <w:unhideWhenUsed/>
    <w:rsid w:val="005F10D9"/>
    <w:rPr>
      <w:color w:val="0000FF" w:themeColor="hyperlink"/>
      <w:u w:val="single"/>
    </w:rPr>
  </w:style>
  <w:style w:type="character" w:styleId="BesuchterHyperlink">
    <w:name w:val="FollowedHyperlink"/>
    <w:basedOn w:val="Absatz-Standardschriftart"/>
    <w:uiPriority w:val="99"/>
    <w:semiHidden/>
    <w:unhideWhenUsed/>
    <w:rsid w:val="00DB345E"/>
    <w:rPr>
      <w:color w:val="800080" w:themeColor="followedHyperlink"/>
      <w:u w:val="single"/>
    </w:rPr>
  </w:style>
  <w:style w:type="paragraph" w:styleId="Listenabsatz">
    <w:name w:val="List Paragraph"/>
    <w:basedOn w:val="Standard"/>
    <w:uiPriority w:val="34"/>
    <w:qFormat/>
    <w:rsid w:val="00A447DC"/>
    <w:pPr>
      <w:ind w:left="720"/>
      <w:contextualSpacing/>
    </w:pPr>
  </w:style>
  <w:style w:type="paragraph" w:styleId="Kopfzeile">
    <w:name w:val="header"/>
    <w:basedOn w:val="Standard"/>
    <w:link w:val="KopfzeileZchn"/>
    <w:uiPriority w:val="99"/>
    <w:unhideWhenUsed/>
    <w:rsid w:val="00300512"/>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00512"/>
    <w:rPr>
      <w:lang w:val="en-GB"/>
    </w:rPr>
  </w:style>
  <w:style w:type="paragraph" w:styleId="Fuzeile">
    <w:name w:val="footer"/>
    <w:basedOn w:val="Standard"/>
    <w:link w:val="FuzeileZchn"/>
    <w:uiPriority w:val="99"/>
    <w:unhideWhenUsed/>
    <w:rsid w:val="00300512"/>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00512"/>
    <w:rPr>
      <w:lang w:val="en-GB"/>
    </w:rPr>
  </w:style>
  <w:style w:type="paragraph" w:styleId="Endnotentext">
    <w:name w:val="endnote text"/>
    <w:basedOn w:val="Standard"/>
    <w:link w:val="EndnotentextZchn"/>
    <w:uiPriority w:val="99"/>
    <w:semiHidden/>
    <w:unhideWhenUsed/>
    <w:rsid w:val="00BB61C3"/>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BB61C3"/>
    <w:rPr>
      <w:sz w:val="20"/>
      <w:szCs w:val="20"/>
      <w:lang w:val="en-GB"/>
    </w:rPr>
  </w:style>
  <w:style w:type="character" w:styleId="Endnotenzeichen">
    <w:name w:val="endnote reference"/>
    <w:basedOn w:val="Absatz-Standardschriftart"/>
    <w:uiPriority w:val="99"/>
    <w:semiHidden/>
    <w:unhideWhenUsed/>
    <w:rsid w:val="00BB61C3"/>
    <w:rPr>
      <w:vertAlign w:val="superscript"/>
    </w:rPr>
  </w:style>
  <w:style w:type="character" w:customStyle="1" w:styleId="berschrift1Zchn">
    <w:name w:val="Überschrift 1 Zchn"/>
    <w:basedOn w:val="Absatz-Standardschriftart"/>
    <w:link w:val="berschrift1"/>
    <w:uiPriority w:val="9"/>
    <w:rsid w:val="00266C9D"/>
    <w:rPr>
      <w:rFonts w:asciiTheme="majorHAnsi" w:eastAsiaTheme="majorEastAsia" w:hAnsiTheme="majorHAnsi" w:cstheme="majorBidi"/>
      <w:b/>
      <w:bCs/>
      <w:color w:val="365F91" w:themeColor="accent1" w:themeShade="BF"/>
      <w:sz w:val="28"/>
      <w:szCs w:val="28"/>
      <w:lang w:eastAsia="ja-JP"/>
    </w:rPr>
  </w:style>
  <w:style w:type="paragraph" w:styleId="Sprechblasentext">
    <w:name w:val="Balloon Text"/>
    <w:basedOn w:val="Standard"/>
    <w:link w:val="SprechblasentextZchn"/>
    <w:uiPriority w:val="99"/>
    <w:semiHidden/>
    <w:unhideWhenUsed/>
    <w:rsid w:val="00266C9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6C9D"/>
    <w:rPr>
      <w:rFonts w:ascii="Tahoma" w:hAnsi="Tahoma" w:cs="Tahoma"/>
      <w:sz w:val="16"/>
      <w:szCs w:val="16"/>
      <w:lang w:val="en-GB"/>
    </w:rPr>
  </w:style>
  <w:style w:type="paragraph" w:styleId="StandardWeb">
    <w:name w:val="Normal (Web)"/>
    <w:basedOn w:val="Standard"/>
    <w:uiPriority w:val="99"/>
    <w:unhideWhenUsed/>
    <w:rsid w:val="007E5E5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Absatz-Standardschriftart"/>
    <w:rsid w:val="007E5E54"/>
  </w:style>
  <w:style w:type="paragraph" w:styleId="Beschriftung">
    <w:name w:val="caption"/>
    <w:basedOn w:val="Standard"/>
    <w:next w:val="Standard"/>
    <w:uiPriority w:val="35"/>
    <w:unhideWhenUsed/>
    <w:qFormat/>
    <w:rsid w:val="004A6C3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7413">
      <w:bodyDiv w:val="1"/>
      <w:marLeft w:val="0"/>
      <w:marRight w:val="0"/>
      <w:marTop w:val="0"/>
      <w:marBottom w:val="0"/>
      <w:divBdr>
        <w:top w:val="none" w:sz="0" w:space="0" w:color="auto"/>
        <w:left w:val="none" w:sz="0" w:space="0" w:color="auto"/>
        <w:bottom w:val="none" w:sz="0" w:space="0" w:color="auto"/>
        <w:right w:val="none" w:sz="0" w:space="0" w:color="auto"/>
      </w:divBdr>
    </w:div>
    <w:div w:id="384530624">
      <w:bodyDiv w:val="1"/>
      <w:marLeft w:val="0"/>
      <w:marRight w:val="0"/>
      <w:marTop w:val="0"/>
      <w:marBottom w:val="0"/>
      <w:divBdr>
        <w:top w:val="none" w:sz="0" w:space="0" w:color="auto"/>
        <w:left w:val="none" w:sz="0" w:space="0" w:color="auto"/>
        <w:bottom w:val="none" w:sz="0" w:space="0" w:color="auto"/>
        <w:right w:val="none" w:sz="0" w:space="0" w:color="auto"/>
      </w:divBdr>
    </w:div>
    <w:div w:id="639699601">
      <w:bodyDiv w:val="1"/>
      <w:marLeft w:val="0"/>
      <w:marRight w:val="0"/>
      <w:marTop w:val="0"/>
      <w:marBottom w:val="0"/>
      <w:divBdr>
        <w:top w:val="none" w:sz="0" w:space="0" w:color="auto"/>
        <w:left w:val="none" w:sz="0" w:space="0" w:color="auto"/>
        <w:bottom w:val="none" w:sz="0" w:space="0" w:color="auto"/>
        <w:right w:val="none" w:sz="0" w:space="0" w:color="auto"/>
      </w:divBdr>
      <w:divsChild>
        <w:div w:id="897857146">
          <w:marLeft w:val="0"/>
          <w:marRight w:val="0"/>
          <w:marTop w:val="0"/>
          <w:marBottom w:val="0"/>
          <w:divBdr>
            <w:top w:val="none" w:sz="0" w:space="0" w:color="auto"/>
            <w:left w:val="none" w:sz="0" w:space="0" w:color="auto"/>
            <w:bottom w:val="none" w:sz="0" w:space="0" w:color="auto"/>
            <w:right w:val="none" w:sz="0" w:space="0" w:color="auto"/>
          </w:divBdr>
        </w:div>
        <w:div w:id="2076734193">
          <w:marLeft w:val="0"/>
          <w:marRight w:val="180"/>
          <w:marTop w:val="0"/>
          <w:marBottom w:val="0"/>
          <w:divBdr>
            <w:top w:val="none" w:sz="0" w:space="0" w:color="auto"/>
            <w:left w:val="none" w:sz="0" w:space="0" w:color="auto"/>
            <w:bottom w:val="none" w:sz="0" w:space="0" w:color="auto"/>
            <w:right w:val="none" w:sz="0" w:space="0" w:color="auto"/>
          </w:divBdr>
        </w:div>
      </w:divsChild>
    </w:div>
    <w:div w:id="648169729">
      <w:bodyDiv w:val="1"/>
      <w:marLeft w:val="0"/>
      <w:marRight w:val="0"/>
      <w:marTop w:val="0"/>
      <w:marBottom w:val="0"/>
      <w:divBdr>
        <w:top w:val="none" w:sz="0" w:space="0" w:color="auto"/>
        <w:left w:val="none" w:sz="0" w:space="0" w:color="auto"/>
        <w:bottom w:val="none" w:sz="0" w:space="0" w:color="auto"/>
        <w:right w:val="none" w:sz="0" w:space="0" w:color="auto"/>
      </w:divBdr>
    </w:div>
    <w:div w:id="778380512">
      <w:bodyDiv w:val="1"/>
      <w:marLeft w:val="0"/>
      <w:marRight w:val="0"/>
      <w:marTop w:val="0"/>
      <w:marBottom w:val="0"/>
      <w:divBdr>
        <w:top w:val="none" w:sz="0" w:space="0" w:color="auto"/>
        <w:left w:val="none" w:sz="0" w:space="0" w:color="auto"/>
        <w:bottom w:val="none" w:sz="0" w:space="0" w:color="auto"/>
        <w:right w:val="none" w:sz="0" w:space="0" w:color="auto"/>
      </w:divBdr>
    </w:div>
    <w:div w:id="951011116">
      <w:bodyDiv w:val="1"/>
      <w:marLeft w:val="0"/>
      <w:marRight w:val="0"/>
      <w:marTop w:val="0"/>
      <w:marBottom w:val="0"/>
      <w:divBdr>
        <w:top w:val="none" w:sz="0" w:space="0" w:color="auto"/>
        <w:left w:val="none" w:sz="0" w:space="0" w:color="auto"/>
        <w:bottom w:val="none" w:sz="0" w:space="0" w:color="auto"/>
        <w:right w:val="none" w:sz="0" w:space="0" w:color="auto"/>
      </w:divBdr>
    </w:div>
    <w:div w:id="1060060240">
      <w:bodyDiv w:val="1"/>
      <w:marLeft w:val="0"/>
      <w:marRight w:val="0"/>
      <w:marTop w:val="0"/>
      <w:marBottom w:val="0"/>
      <w:divBdr>
        <w:top w:val="none" w:sz="0" w:space="0" w:color="auto"/>
        <w:left w:val="none" w:sz="0" w:space="0" w:color="auto"/>
        <w:bottom w:val="none" w:sz="0" w:space="0" w:color="auto"/>
        <w:right w:val="none" w:sz="0" w:space="0" w:color="auto"/>
      </w:divBdr>
    </w:div>
    <w:div w:id="1512452916">
      <w:bodyDiv w:val="1"/>
      <w:marLeft w:val="0"/>
      <w:marRight w:val="0"/>
      <w:marTop w:val="0"/>
      <w:marBottom w:val="0"/>
      <w:divBdr>
        <w:top w:val="none" w:sz="0" w:space="0" w:color="auto"/>
        <w:left w:val="none" w:sz="0" w:space="0" w:color="auto"/>
        <w:bottom w:val="none" w:sz="0" w:space="0" w:color="auto"/>
        <w:right w:val="none" w:sz="0" w:space="0" w:color="auto"/>
      </w:divBdr>
    </w:div>
    <w:div w:id="1566260960">
      <w:bodyDiv w:val="1"/>
      <w:marLeft w:val="0"/>
      <w:marRight w:val="0"/>
      <w:marTop w:val="0"/>
      <w:marBottom w:val="0"/>
      <w:divBdr>
        <w:top w:val="none" w:sz="0" w:space="0" w:color="auto"/>
        <w:left w:val="none" w:sz="0" w:space="0" w:color="auto"/>
        <w:bottom w:val="none" w:sz="0" w:space="0" w:color="auto"/>
        <w:right w:val="none" w:sz="0" w:space="0" w:color="auto"/>
      </w:divBdr>
    </w:div>
    <w:div w:id="1694107980">
      <w:bodyDiv w:val="1"/>
      <w:marLeft w:val="0"/>
      <w:marRight w:val="0"/>
      <w:marTop w:val="0"/>
      <w:marBottom w:val="0"/>
      <w:divBdr>
        <w:top w:val="none" w:sz="0" w:space="0" w:color="auto"/>
        <w:left w:val="none" w:sz="0" w:space="0" w:color="auto"/>
        <w:bottom w:val="none" w:sz="0" w:space="0" w:color="auto"/>
        <w:right w:val="none" w:sz="0" w:space="0" w:color="auto"/>
      </w:divBdr>
    </w:div>
    <w:div w:id="1712994185">
      <w:bodyDiv w:val="1"/>
      <w:marLeft w:val="0"/>
      <w:marRight w:val="0"/>
      <w:marTop w:val="0"/>
      <w:marBottom w:val="0"/>
      <w:divBdr>
        <w:top w:val="none" w:sz="0" w:space="0" w:color="auto"/>
        <w:left w:val="none" w:sz="0" w:space="0" w:color="auto"/>
        <w:bottom w:val="none" w:sz="0" w:space="0" w:color="auto"/>
        <w:right w:val="none" w:sz="0" w:space="0" w:color="auto"/>
      </w:divBdr>
    </w:div>
    <w:div w:id="202532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nsuranceeurope.eu/uploads/Modules/Publications/european-insurance---key-facts-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A4E2C-1E76-45A4-8DAB-8ECB7F14E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6040</Words>
  <Characters>38052</Characters>
  <Application>Microsoft Office Word</Application>
  <DocSecurity>0</DocSecurity>
  <Lines>317</Lines>
  <Paragraphs>88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Hanken</Company>
  <LinksUpToDate>false</LinksUpToDate>
  <CharactersWithSpaces>44004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Personal</dc:creator>
  <cp:lastModifiedBy>frgv022</cp:lastModifiedBy>
  <cp:revision>2</cp:revision>
  <cp:lastPrinted>2014-12-10T14:03:00Z</cp:lastPrinted>
  <dcterms:created xsi:type="dcterms:W3CDTF">2015-06-29T12:21:00Z</dcterms:created>
  <dcterms:modified xsi:type="dcterms:W3CDTF">2015-06-29T12:21:00Z</dcterms:modified>
</cp:coreProperties>
</file>