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F2" w:rsidRDefault="007E5CF2">
      <w:pPr>
        <w:rPr>
          <w:b/>
        </w:rPr>
      </w:pPr>
      <w:bookmarkStart w:id="0" w:name="_GoBack"/>
      <w:bookmarkEnd w:id="0"/>
      <w:r>
        <w:rPr>
          <w:b/>
        </w:rPr>
        <w:t>[SLIDES]</w:t>
      </w:r>
    </w:p>
    <w:p w:rsidR="00064C8B" w:rsidRPr="007E5CF2" w:rsidRDefault="007E5CF2">
      <w:r>
        <w:t>[</w:t>
      </w:r>
      <w:r w:rsidR="00064C8B" w:rsidRPr="007E5CF2">
        <w:t>SLIDE 1</w:t>
      </w:r>
      <w:r>
        <w:t>]</w:t>
      </w:r>
    </w:p>
    <w:p w:rsidR="002C5571" w:rsidRDefault="00064C8B">
      <w:pPr>
        <w:rPr>
          <w:b/>
        </w:rPr>
      </w:pPr>
      <w:r>
        <w:rPr>
          <w:b/>
        </w:rPr>
        <w:t>FACULTATIVE CONTRACTS: FOLLOW THE SETTLEMENTS AND CLAIMS CONTROL CLAUSES</w:t>
      </w:r>
    </w:p>
    <w:p w:rsidR="002C5571" w:rsidRDefault="002C5571">
      <w:pPr>
        <w:rPr>
          <w:b/>
        </w:rPr>
      </w:pPr>
      <w:r>
        <w:rPr>
          <w:b/>
        </w:rPr>
        <w:t xml:space="preserve">Julian Burling, </w:t>
      </w:r>
      <w:proofErr w:type="spellStart"/>
      <w:r>
        <w:rPr>
          <w:b/>
        </w:rPr>
        <w:t>Serle</w:t>
      </w:r>
      <w:proofErr w:type="spellEnd"/>
      <w:r>
        <w:rPr>
          <w:b/>
        </w:rPr>
        <w:t xml:space="preserve"> Court</w:t>
      </w:r>
    </w:p>
    <w:p w:rsidR="002C5571" w:rsidRDefault="002C5571">
      <w:pPr>
        <w:rPr>
          <w:b/>
        </w:rPr>
      </w:pPr>
    </w:p>
    <w:p w:rsidR="002C5571" w:rsidRDefault="002C5571">
      <w:pPr>
        <w:rPr>
          <w:b/>
        </w:rPr>
      </w:pPr>
      <w:r>
        <w:rPr>
          <w:b/>
        </w:rPr>
        <w:t>AIDA Reinsurance Working Party</w:t>
      </w:r>
    </w:p>
    <w:p w:rsidR="002C5571" w:rsidRDefault="002C5571">
      <w:pPr>
        <w:rPr>
          <w:b/>
        </w:rPr>
      </w:pPr>
      <w:r>
        <w:rPr>
          <w:b/>
        </w:rPr>
        <w:t>Thursday, 13 September 2012</w:t>
      </w:r>
    </w:p>
    <w:p w:rsidR="002C5571" w:rsidRDefault="002C5571">
      <w:r>
        <w:t>[SLIDE 2]</w:t>
      </w:r>
    </w:p>
    <w:p w:rsidR="00964B3A" w:rsidRPr="002D7DD6" w:rsidRDefault="002C5571">
      <w:pPr>
        <w:rPr>
          <w:b/>
        </w:rPr>
      </w:pPr>
      <w:r w:rsidRPr="002D7DD6">
        <w:rPr>
          <w:b/>
        </w:rPr>
        <w:t xml:space="preserve">Facultative reinsurance </w:t>
      </w:r>
      <w:r w:rsidR="00064C8B" w:rsidRPr="002D7DD6">
        <w:rPr>
          <w:b/>
        </w:rPr>
        <w:t xml:space="preserve"> </w:t>
      </w:r>
    </w:p>
    <w:p w:rsidR="0068427E" w:rsidRDefault="0068427E" w:rsidP="0068427E">
      <w:pPr>
        <w:pStyle w:val="ListParagraph"/>
        <w:numPr>
          <w:ilvl w:val="0"/>
          <w:numId w:val="1"/>
        </w:numPr>
      </w:pPr>
      <w:r>
        <w:t>Large/difficult risks</w:t>
      </w:r>
    </w:p>
    <w:p w:rsidR="0068427E" w:rsidRDefault="0068427E" w:rsidP="0068427E">
      <w:pPr>
        <w:pStyle w:val="ListParagraph"/>
        <w:numPr>
          <w:ilvl w:val="0"/>
          <w:numId w:val="1"/>
        </w:numPr>
      </w:pPr>
      <w:r>
        <w:t>Reassured wants to choose</w:t>
      </w:r>
      <w:r w:rsidR="002B53ED">
        <w:t xml:space="preserve"> cessions</w:t>
      </w:r>
    </w:p>
    <w:p w:rsidR="0068427E" w:rsidRDefault="0068427E" w:rsidP="0068427E">
      <w:pPr>
        <w:pStyle w:val="ListParagraph"/>
        <w:numPr>
          <w:ilvl w:val="0"/>
          <w:numId w:val="1"/>
        </w:numPr>
      </w:pPr>
      <w:r>
        <w:t>Fronting</w:t>
      </w:r>
    </w:p>
    <w:p w:rsidR="0068427E" w:rsidRDefault="002B53ED" w:rsidP="0068427E">
      <w:r>
        <w:t xml:space="preserve">[SLIDE </w:t>
      </w:r>
      <w:r w:rsidR="002C5571">
        <w:t>3</w:t>
      </w:r>
      <w:r>
        <w:t xml:space="preserve">] </w:t>
      </w:r>
    </w:p>
    <w:p w:rsidR="002B53ED" w:rsidRPr="002B53ED" w:rsidRDefault="002B53ED" w:rsidP="0068427E">
      <w:pPr>
        <w:rPr>
          <w:rFonts w:cstheme="minorHAnsi"/>
          <w:color w:val="000000"/>
          <w:shd w:val="clear" w:color="auto" w:fill="FFFFFF"/>
        </w:rPr>
      </w:pPr>
      <w:r>
        <w:tab/>
      </w:r>
      <w:r w:rsidRPr="002B53ED">
        <w:rPr>
          <w:rFonts w:cstheme="minorHAnsi"/>
        </w:rPr>
        <w:t>“</w:t>
      </w:r>
      <w:r w:rsidRPr="002B53ED">
        <w:rPr>
          <w:rFonts w:cstheme="minorHAnsi"/>
          <w:color w:val="000000"/>
          <w:shd w:val="clear" w:color="auto" w:fill="FFFFFF"/>
        </w:rPr>
        <w:t xml:space="preserve">There are only two rules, both obvious. First, that the reinsurer cannot be held liable unless </w:t>
      </w:r>
      <w:proofErr w:type="gramStart"/>
      <w:r w:rsidRPr="002B53ED">
        <w:rPr>
          <w:rFonts w:cstheme="minorHAnsi"/>
          <w:color w:val="000000"/>
          <w:shd w:val="clear" w:color="auto" w:fill="FFFFFF"/>
        </w:rPr>
        <w:t>the</w:t>
      </w:r>
      <w:proofErr w:type="gramEnd"/>
      <w:r w:rsidRPr="002B53ED">
        <w:rPr>
          <w:rFonts w:cstheme="minorHAnsi"/>
          <w:color w:val="000000"/>
          <w:shd w:val="clear" w:color="auto" w:fill="FFFFFF"/>
        </w:rPr>
        <w:t xml:space="preserve"> loss falls within the cover of the policy reinsured and within the cover created by the reinsurance. </w:t>
      </w:r>
      <w:proofErr w:type="gramStart"/>
      <w:r w:rsidRPr="002B53ED">
        <w:rPr>
          <w:rFonts w:cstheme="minorHAnsi"/>
          <w:color w:val="000000"/>
          <w:shd w:val="clear" w:color="auto" w:fill="FFFFFF"/>
        </w:rPr>
        <w:t>Second, that</w:t>
      </w:r>
      <w:proofErr w:type="gramEnd"/>
      <w:r w:rsidRPr="002B53ED">
        <w:rPr>
          <w:rFonts w:cstheme="minorHAnsi"/>
          <w:color w:val="000000"/>
          <w:shd w:val="clear" w:color="auto" w:fill="FFFFFF"/>
        </w:rPr>
        <w:t xml:space="preserve"> the parties are free to agree on ways of proving whether these requirements are satisfied. Beyond this, all the problems come from the efforts of those in the market to strike a workable balance between conflicting practical demands and then to express the balance in words.”</w:t>
      </w:r>
    </w:p>
    <w:p w:rsidR="002B53ED" w:rsidRDefault="002B53ED" w:rsidP="0068427E">
      <w:pPr>
        <w:rPr>
          <w:rFonts w:cstheme="minorHAnsi"/>
          <w:color w:val="000000"/>
          <w:shd w:val="clear" w:color="auto" w:fill="FFFFFF"/>
        </w:rPr>
      </w:pPr>
      <w:r w:rsidRPr="002B53ED">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2B53ED">
        <w:rPr>
          <w:rFonts w:cstheme="minorHAnsi"/>
          <w:i/>
          <w:color w:val="000000"/>
          <w:shd w:val="clear" w:color="auto" w:fill="FFFFFF"/>
        </w:rPr>
        <w:t xml:space="preserve">Hill </w:t>
      </w:r>
      <w:r w:rsidRPr="002B53ED">
        <w:rPr>
          <w:rFonts w:cstheme="minorHAnsi"/>
          <w:color w:val="000000"/>
          <w:shd w:val="clear" w:color="auto" w:fill="FFFFFF"/>
        </w:rPr>
        <w:t xml:space="preserve">v </w:t>
      </w:r>
      <w:r w:rsidRPr="002B53ED">
        <w:rPr>
          <w:rFonts w:cstheme="minorHAnsi"/>
          <w:i/>
          <w:color w:val="000000"/>
          <w:shd w:val="clear" w:color="auto" w:fill="FFFFFF"/>
        </w:rPr>
        <w:t>Mercantile &amp; General</w:t>
      </w:r>
      <w:r w:rsidRPr="002B53ED">
        <w:rPr>
          <w:rFonts w:cstheme="minorHAnsi"/>
          <w:color w:val="000000"/>
          <w:shd w:val="clear" w:color="auto" w:fill="FFFFFF"/>
        </w:rPr>
        <w:t xml:space="preserve"> [1996] LRLR 341, 350 per Lord </w:t>
      </w:r>
      <w:proofErr w:type="spellStart"/>
      <w:r w:rsidRPr="002B53ED">
        <w:rPr>
          <w:rFonts w:cstheme="minorHAnsi"/>
          <w:color w:val="000000"/>
          <w:shd w:val="clear" w:color="auto" w:fill="FFFFFF"/>
        </w:rPr>
        <w:t>Mustill</w:t>
      </w:r>
      <w:proofErr w:type="spellEnd"/>
    </w:p>
    <w:p w:rsidR="002B53ED" w:rsidRDefault="002B53ED" w:rsidP="0068427E">
      <w:pPr>
        <w:rPr>
          <w:rFonts w:cstheme="minorHAnsi"/>
          <w:color w:val="000000"/>
          <w:shd w:val="clear" w:color="auto" w:fill="FFFFFF"/>
        </w:rPr>
      </w:pPr>
    </w:p>
    <w:p w:rsidR="002B53ED" w:rsidRDefault="002B53ED" w:rsidP="0068427E">
      <w:pPr>
        <w:rPr>
          <w:rFonts w:cstheme="minorHAnsi"/>
          <w:color w:val="000000"/>
          <w:shd w:val="clear" w:color="auto" w:fill="FFFFFF"/>
        </w:rPr>
      </w:pPr>
      <w:r>
        <w:rPr>
          <w:rFonts w:cstheme="minorHAnsi"/>
          <w:color w:val="000000"/>
          <w:shd w:val="clear" w:color="auto" w:fill="FFFFFF"/>
        </w:rPr>
        <w:t xml:space="preserve">[SLIDE </w:t>
      </w:r>
      <w:r w:rsidR="002C5571">
        <w:rPr>
          <w:rFonts w:cstheme="minorHAnsi"/>
          <w:color w:val="000000"/>
          <w:shd w:val="clear" w:color="auto" w:fill="FFFFFF"/>
        </w:rPr>
        <w:t>4</w:t>
      </w:r>
      <w:r>
        <w:rPr>
          <w:rFonts w:cstheme="minorHAnsi"/>
          <w:color w:val="000000"/>
          <w:shd w:val="clear" w:color="auto" w:fill="FFFFFF"/>
        </w:rPr>
        <w:t>]</w:t>
      </w:r>
    </w:p>
    <w:p w:rsidR="00576706" w:rsidRPr="003141A4" w:rsidRDefault="00576706" w:rsidP="0068427E">
      <w:pPr>
        <w:rPr>
          <w:rFonts w:cstheme="minorHAnsi"/>
          <w:b/>
          <w:color w:val="000000"/>
          <w:shd w:val="clear" w:color="auto" w:fill="FFFFFF"/>
        </w:rPr>
      </w:pPr>
      <w:r w:rsidRPr="003141A4">
        <w:rPr>
          <w:rFonts w:cstheme="minorHAnsi"/>
          <w:b/>
          <w:color w:val="000000"/>
          <w:shd w:val="clear" w:color="auto" w:fill="FFFFFF"/>
        </w:rPr>
        <w:t>Follow the settlements clause</w:t>
      </w:r>
    </w:p>
    <w:p w:rsidR="00576706" w:rsidRPr="00386323" w:rsidRDefault="00576706" w:rsidP="0068427E">
      <w:pPr>
        <w:rPr>
          <w:rFonts w:cstheme="minorHAnsi"/>
          <w:color w:val="000000"/>
          <w:shd w:val="clear" w:color="auto" w:fill="FFFFFF"/>
        </w:rPr>
      </w:pPr>
      <w:r>
        <w:rPr>
          <w:rFonts w:cstheme="minorHAnsi"/>
          <w:color w:val="000000"/>
          <w:shd w:val="clear" w:color="auto" w:fill="FFFFFF"/>
        </w:rPr>
        <w:tab/>
      </w:r>
      <w:r w:rsidRPr="00386323">
        <w:rPr>
          <w:rFonts w:cstheme="minorHAnsi"/>
          <w:color w:val="000000"/>
          <w:shd w:val="clear" w:color="auto" w:fill="FFFFFF"/>
        </w:rPr>
        <w:t xml:space="preserve">“Being a Reinsurance of and warranted same gross rate terms and conditions as and </w:t>
      </w:r>
      <w:r w:rsidRPr="00386323">
        <w:rPr>
          <w:rFonts w:cstheme="minorHAnsi"/>
          <w:i/>
          <w:color w:val="000000"/>
          <w:shd w:val="clear" w:color="auto" w:fill="FFFFFF"/>
        </w:rPr>
        <w:t>to follow the settlements</w:t>
      </w:r>
      <w:r w:rsidRPr="00386323">
        <w:rPr>
          <w:rFonts w:cstheme="minorHAnsi"/>
          <w:color w:val="000000"/>
          <w:shd w:val="clear" w:color="auto" w:fill="FFFFFF"/>
        </w:rPr>
        <w:t xml:space="preserve"> of [the reassured]</w:t>
      </w:r>
      <w:r w:rsidR="005169B9">
        <w:rPr>
          <w:rFonts w:cstheme="minorHAnsi"/>
          <w:color w:val="000000"/>
          <w:shd w:val="clear" w:color="auto" w:fill="FFFFFF"/>
        </w:rPr>
        <w:t xml:space="preserve"> ...</w:t>
      </w:r>
      <w:r w:rsidRPr="00386323">
        <w:rPr>
          <w:rFonts w:cstheme="minorHAnsi"/>
          <w:color w:val="000000"/>
          <w:shd w:val="clear" w:color="auto" w:fill="FFFFFF"/>
        </w:rPr>
        <w:t xml:space="preserve">” </w:t>
      </w:r>
    </w:p>
    <w:p w:rsidR="003141A4" w:rsidRDefault="00576706" w:rsidP="0068427E">
      <w:pPr>
        <w:rPr>
          <w:rFonts w:cstheme="minorHAnsi"/>
          <w:color w:val="000000"/>
          <w:shd w:val="clear" w:color="auto" w:fill="FFFFFF"/>
        </w:rPr>
      </w:pPr>
      <w:r w:rsidRPr="00386323">
        <w:rPr>
          <w:rFonts w:cstheme="minorHAnsi"/>
          <w:color w:val="000000"/>
          <w:shd w:val="clear" w:color="auto" w:fill="FFFFFF"/>
        </w:rPr>
        <w:tab/>
      </w:r>
      <w:r w:rsidRPr="00386323">
        <w:rPr>
          <w:rFonts w:cstheme="minorHAnsi"/>
          <w:color w:val="000000"/>
          <w:shd w:val="clear" w:color="auto" w:fill="FFFFFF"/>
        </w:rPr>
        <w:tab/>
      </w:r>
      <w:r w:rsidRPr="00386323">
        <w:rPr>
          <w:rFonts w:cstheme="minorHAnsi"/>
          <w:color w:val="000000"/>
          <w:shd w:val="clear" w:color="auto" w:fill="FFFFFF"/>
        </w:rPr>
        <w:tab/>
      </w:r>
      <w:r w:rsidRPr="00386323">
        <w:rPr>
          <w:rFonts w:cstheme="minorHAnsi"/>
          <w:color w:val="000000"/>
          <w:shd w:val="clear" w:color="auto" w:fill="FFFFFF"/>
        </w:rPr>
        <w:tab/>
      </w:r>
      <w:proofErr w:type="gramStart"/>
      <w:r w:rsidRPr="00386323">
        <w:rPr>
          <w:rFonts w:cstheme="minorHAnsi"/>
          <w:color w:val="000000"/>
          <w:shd w:val="clear" w:color="auto" w:fill="FFFFFF"/>
        </w:rPr>
        <w:t>“J”, “</w:t>
      </w:r>
      <w:r w:rsidR="005169B9">
        <w:rPr>
          <w:rFonts w:cstheme="minorHAnsi"/>
          <w:color w:val="000000"/>
          <w:shd w:val="clear" w:color="auto" w:fill="FFFFFF"/>
        </w:rPr>
        <w:t xml:space="preserve">LUNMA </w:t>
      </w:r>
      <w:r w:rsidRPr="00386323">
        <w:rPr>
          <w:rFonts w:cstheme="minorHAnsi"/>
          <w:color w:val="000000"/>
          <w:shd w:val="clear" w:color="auto" w:fill="FFFFFF"/>
        </w:rPr>
        <w:t>Full reinsurance clause”.</w:t>
      </w:r>
      <w:proofErr w:type="gramEnd"/>
    </w:p>
    <w:p w:rsidR="002C5571" w:rsidRDefault="002C5571">
      <w:pPr>
        <w:rPr>
          <w:rFonts w:cstheme="minorHAnsi"/>
          <w:color w:val="000000"/>
          <w:shd w:val="clear" w:color="auto" w:fill="FFFFFF"/>
        </w:rPr>
      </w:pPr>
      <w:r>
        <w:rPr>
          <w:rFonts w:cstheme="minorHAnsi"/>
          <w:color w:val="000000"/>
          <w:shd w:val="clear" w:color="auto" w:fill="FFFFFF"/>
        </w:rPr>
        <w:br w:type="page"/>
      </w:r>
    </w:p>
    <w:p w:rsidR="002C5571" w:rsidRPr="00386323" w:rsidRDefault="002C5571" w:rsidP="0068427E">
      <w:pPr>
        <w:rPr>
          <w:rFonts w:cstheme="minorHAnsi"/>
          <w:color w:val="000000"/>
          <w:shd w:val="clear" w:color="auto" w:fill="FFFFFF"/>
        </w:rPr>
      </w:pPr>
    </w:p>
    <w:p w:rsidR="003141A4" w:rsidRDefault="003141A4" w:rsidP="0068427E">
      <w:pPr>
        <w:rPr>
          <w:rFonts w:ascii="Verdana" w:hAnsi="Verdana"/>
          <w:color w:val="000000"/>
          <w:sz w:val="17"/>
          <w:szCs w:val="17"/>
          <w:shd w:val="clear" w:color="auto" w:fill="FFFFFF"/>
        </w:rPr>
      </w:pPr>
      <w:r>
        <w:rPr>
          <w:rFonts w:ascii="Verdana" w:hAnsi="Verdana"/>
          <w:color w:val="000000"/>
          <w:sz w:val="17"/>
          <w:szCs w:val="17"/>
          <w:shd w:val="clear" w:color="auto" w:fill="FFFFFF"/>
        </w:rPr>
        <w:t>[SLIDE</w:t>
      </w:r>
      <w:r w:rsidR="002C5571">
        <w:rPr>
          <w:rFonts w:ascii="Verdana" w:hAnsi="Verdana"/>
          <w:color w:val="000000"/>
          <w:sz w:val="17"/>
          <w:szCs w:val="17"/>
          <w:shd w:val="clear" w:color="auto" w:fill="FFFFFF"/>
        </w:rPr>
        <w:t xml:space="preserve"> 5</w:t>
      </w:r>
      <w:r>
        <w:rPr>
          <w:rFonts w:ascii="Verdana" w:hAnsi="Verdana"/>
          <w:color w:val="000000"/>
          <w:sz w:val="17"/>
          <w:szCs w:val="17"/>
          <w:shd w:val="clear" w:color="auto" w:fill="FFFFFF"/>
        </w:rPr>
        <w:t>]</w:t>
      </w:r>
    </w:p>
    <w:p w:rsidR="002B53ED" w:rsidRDefault="00576706" w:rsidP="0068427E">
      <w:pPr>
        <w:rPr>
          <w:rFonts w:cstheme="minorHAnsi"/>
          <w:color w:val="000000"/>
          <w:shd w:val="clear" w:color="auto" w:fill="FFFFFF"/>
        </w:rPr>
      </w:pPr>
      <w:r>
        <w:rPr>
          <w:rFonts w:cstheme="minorHAnsi"/>
          <w:color w:val="000000"/>
          <w:shd w:val="clear" w:color="auto" w:fill="FFFFFF"/>
        </w:rPr>
        <w:t xml:space="preserve"> </w:t>
      </w:r>
      <w:r w:rsidR="003141A4" w:rsidRPr="00EC4245">
        <w:rPr>
          <w:rFonts w:cstheme="minorHAnsi"/>
          <w:i/>
          <w:color w:val="000000"/>
          <w:shd w:val="clear" w:color="auto" w:fill="FFFFFF"/>
        </w:rPr>
        <w:t xml:space="preserve">Without </w:t>
      </w:r>
      <w:r w:rsidR="003141A4">
        <w:rPr>
          <w:rFonts w:cstheme="minorHAnsi"/>
          <w:color w:val="000000"/>
          <w:shd w:val="clear" w:color="auto" w:fill="FFFFFF"/>
        </w:rPr>
        <w:t>follow settlements clause:</w:t>
      </w:r>
    </w:p>
    <w:p w:rsidR="003141A4" w:rsidRDefault="003141A4" w:rsidP="0068427E">
      <w:pPr>
        <w:rPr>
          <w:rFonts w:cstheme="minorHAnsi"/>
          <w:color w:val="000000"/>
          <w:shd w:val="clear" w:color="auto" w:fill="FFFFFF"/>
        </w:rPr>
      </w:pPr>
      <w:r>
        <w:rPr>
          <w:rFonts w:cstheme="minorHAnsi"/>
          <w:color w:val="000000"/>
          <w:shd w:val="clear" w:color="auto" w:fill="FFFFFF"/>
        </w:rPr>
        <w:tab/>
      </w:r>
      <w:r w:rsidR="00304FF7">
        <w:rPr>
          <w:rFonts w:cstheme="minorHAnsi"/>
          <w:color w:val="000000"/>
          <w:shd w:val="clear" w:color="auto" w:fill="FFFFFF"/>
        </w:rPr>
        <w:t xml:space="preserve">Third party </w:t>
      </w:r>
      <w:r>
        <w:rPr>
          <w:rFonts w:cstheme="minorHAnsi"/>
          <w:color w:val="000000"/>
          <w:shd w:val="clear" w:color="auto" w:fill="FFFFFF"/>
        </w:rPr>
        <w:t xml:space="preserve">judgment against reassured may not be enough to establish liability of reassured </w:t>
      </w:r>
      <w:r w:rsidR="007D6E19">
        <w:rPr>
          <w:rFonts w:cstheme="minorHAnsi"/>
          <w:color w:val="000000"/>
          <w:shd w:val="clear" w:color="auto" w:fill="FFFFFF"/>
        </w:rPr>
        <w:tab/>
      </w:r>
      <w:r>
        <w:rPr>
          <w:rFonts w:cstheme="minorHAnsi"/>
          <w:color w:val="000000"/>
          <w:shd w:val="clear" w:color="auto" w:fill="FFFFFF"/>
        </w:rPr>
        <w:t xml:space="preserve">under underlying insurance: </w:t>
      </w:r>
      <w:proofErr w:type="spellStart"/>
      <w:r w:rsidRPr="003141A4">
        <w:rPr>
          <w:rFonts w:cstheme="minorHAnsi"/>
          <w:i/>
          <w:color w:val="000000"/>
          <w:shd w:val="clear" w:color="auto" w:fill="FFFFFF"/>
        </w:rPr>
        <w:t>Hayter</w:t>
      </w:r>
      <w:proofErr w:type="spellEnd"/>
      <w:r>
        <w:rPr>
          <w:rFonts w:cstheme="minorHAnsi"/>
          <w:color w:val="000000"/>
          <w:shd w:val="clear" w:color="auto" w:fill="FFFFFF"/>
        </w:rPr>
        <w:t xml:space="preserve"> v </w:t>
      </w:r>
      <w:r w:rsidRPr="003141A4">
        <w:rPr>
          <w:rFonts w:cstheme="minorHAnsi"/>
          <w:i/>
          <w:color w:val="000000"/>
          <w:shd w:val="clear" w:color="auto" w:fill="FFFFFF"/>
        </w:rPr>
        <w:t>Nelson</w:t>
      </w:r>
      <w:r>
        <w:rPr>
          <w:rFonts w:cstheme="minorHAnsi"/>
          <w:color w:val="000000"/>
          <w:shd w:val="clear" w:color="auto" w:fill="FFFFFF"/>
        </w:rPr>
        <w:t xml:space="preserve"> [1990] 2 Lloyd’s Rep 265, 271</w:t>
      </w:r>
      <w:proofErr w:type="gramStart"/>
      <w:r>
        <w:rPr>
          <w:rFonts w:cstheme="minorHAnsi"/>
          <w:color w:val="000000"/>
          <w:shd w:val="clear" w:color="auto" w:fill="FFFFFF"/>
        </w:rPr>
        <w:t xml:space="preserve">,  </w:t>
      </w:r>
      <w:proofErr w:type="spellStart"/>
      <w:r>
        <w:rPr>
          <w:rFonts w:cstheme="minorHAnsi"/>
          <w:color w:val="000000"/>
          <w:shd w:val="clear" w:color="auto" w:fill="FFFFFF"/>
        </w:rPr>
        <w:t>Saville</w:t>
      </w:r>
      <w:proofErr w:type="spellEnd"/>
      <w:proofErr w:type="gramEnd"/>
      <w:r>
        <w:rPr>
          <w:rFonts w:cstheme="minorHAnsi"/>
          <w:color w:val="000000"/>
          <w:shd w:val="clear" w:color="auto" w:fill="FFFFFF"/>
        </w:rPr>
        <w:t xml:space="preserve"> J</w:t>
      </w:r>
      <w:r w:rsidR="007D6E19">
        <w:rPr>
          <w:rFonts w:cstheme="minorHAnsi"/>
          <w:color w:val="000000"/>
          <w:shd w:val="clear" w:color="auto" w:fill="FFFFFF"/>
        </w:rPr>
        <w:t>,</w:t>
      </w:r>
    </w:p>
    <w:p w:rsidR="003141A4" w:rsidRDefault="003141A4" w:rsidP="0068427E">
      <w:pPr>
        <w:rPr>
          <w:rFonts w:cstheme="minorHAnsi"/>
          <w:color w:val="000000"/>
          <w:shd w:val="clear" w:color="auto" w:fill="FFFFFF"/>
        </w:rPr>
      </w:pPr>
      <w:r>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007D6E19">
        <w:rPr>
          <w:rFonts w:cstheme="minorHAnsi"/>
          <w:color w:val="000000"/>
          <w:shd w:val="clear" w:color="auto" w:fill="FFFFFF"/>
        </w:rPr>
        <w:t xml:space="preserve">        </w:t>
      </w:r>
      <w:proofErr w:type="spellStart"/>
      <w:r w:rsidRPr="003141A4">
        <w:rPr>
          <w:rFonts w:cstheme="minorHAnsi"/>
          <w:i/>
          <w:color w:val="000000"/>
          <w:shd w:val="clear" w:color="auto" w:fill="FFFFFF"/>
        </w:rPr>
        <w:t>Wasa</w:t>
      </w:r>
      <w:proofErr w:type="spellEnd"/>
      <w:r>
        <w:rPr>
          <w:rFonts w:cstheme="minorHAnsi"/>
          <w:color w:val="000000"/>
          <w:shd w:val="clear" w:color="auto" w:fill="FFFFFF"/>
        </w:rPr>
        <w:t xml:space="preserve"> v </w:t>
      </w:r>
      <w:r w:rsidRPr="003141A4">
        <w:rPr>
          <w:rFonts w:cstheme="minorHAnsi"/>
          <w:i/>
          <w:color w:val="000000"/>
          <w:shd w:val="clear" w:color="auto" w:fill="FFFFFF"/>
        </w:rPr>
        <w:t>Lexington</w:t>
      </w:r>
      <w:r>
        <w:rPr>
          <w:rFonts w:cstheme="minorHAnsi"/>
          <w:color w:val="000000"/>
          <w:shd w:val="clear" w:color="auto" w:fill="FFFFFF"/>
        </w:rPr>
        <w:t xml:space="preserve"> [2010] 1 AC 180, </w:t>
      </w:r>
      <w:proofErr w:type="gramStart"/>
      <w:r>
        <w:rPr>
          <w:rFonts w:cstheme="minorHAnsi"/>
          <w:color w:val="000000"/>
          <w:shd w:val="clear" w:color="auto" w:fill="FFFFFF"/>
        </w:rPr>
        <w:t>200  Lord</w:t>
      </w:r>
      <w:proofErr w:type="gramEnd"/>
      <w:r>
        <w:rPr>
          <w:rFonts w:cstheme="minorHAnsi"/>
          <w:color w:val="000000"/>
          <w:shd w:val="clear" w:color="auto" w:fill="FFFFFF"/>
        </w:rPr>
        <w:t xml:space="preserve"> </w:t>
      </w:r>
      <w:proofErr w:type="spellStart"/>
      <w:r>
        <w:rPr>
          <w:rFonts w:cstheme="minorHAnsi"/>
          <w:color w:val="000000"/>
          <w:shd w:val="clear" w:color="auto" w:fill="FFFFFF"/>
        </w:rPr>
        <w:t>Mance</w:t>
      </w:r>
      <w:proofErr w:type="spellEnd"/>
      <w:r>
        <w:rPr>
          <w:rFonts w:cstheme="minorHAnsi"/>
          <w:color w:val="000000"/>
          <w:shd w:val="clear" w:color="auto" w:fill="FFFFFF"/>
        </w:rPr>
        <w:t xml:space="preserve">  </w:t>
      </w:r>
    </w:p>
    <w:p w:rsidR="003141A4" w:rsidRDefault="003141A4" w:rsidP="0068427E">
      <w:pPr>
        <w:rPr>
          <w:rFonts w:cstheme="minorHAnsi"/>
          <w:color w:val="000000"/>
          <w:shd w:val="clear" w:color="auto" w:fill="FFFFFF"/>
        </w:rPr>
      </w:pPr>
      <w:r>
        <w:rPr>
          <w:rFonts w:cstheme="minorHAnsi"/>
          <w:color w:val="000000"/>
          <w:shd w:val="clear" w:color="auto" w:fill="FFFFFF"/>
        </w:rPr>
        <w:tab/>
        <w:t>Settlements without judgment will not establish liability under underlying insurance:</w:t>
      </w:r>
    </w:p>
    <w:p w:rsidR="003141A4" w:rsidRDefault="003141A4" w:rsidP="0068427E">
      <w:pPr>
        <w:rPr>
          <w:rFonts w:cstheme="minorHAnsi"/>
          <w:color w:val="000000"/>
          <w:shd w:val="clear" w:color="auto" w:fill="FFFFFF"/>
        </w:rPr>
      </w:pPr>
      <w:r>
        <w:rPr>
          <w:rFonts w:cstheme="minorHAnsi"/>
          <w:color w:val="000000"/>
          <w:shd w:val="clear" w:color="auto" w:fill="FFFFFF"/>
        </w:rPr>
        <w:tab/>
      </w:r>
      <w:r>
        <w:rPr>
          <w:rFonts w:cstheme="minorHAnsi"/>
          <w:color w:val="000000"/>
          <w:shd w:val="clear" w:color="auto" w:fill="FFFFFF"/>
        </w:rPr>
        <w:tab/>
      </w:r>
      <w:r>
        <w:rPr>
          <w:rFonts w:cstheme="minorHAnsi"/>
          <w:color w:val="000000"/>
          <w:shd w:val="clear" w:color="auto" w:fill="FFFFFF"/>
        </w:rPr>
        <w:tab/>
      </w:r>
      <w:r w:rsidRPr="003141A4">
        <w:rPr>
          <w:rFonts w:cstheme="minorHAnsi"/>
          <w:i/>
          <w:color w:val="000000"/>
          <w:shd w:val="clear" w:color="auto" w:fill="FFFFFF"/>
        </w:rPr>
        <w:t>Commercial Union</w:t>
      </w:r>
      <w:r>
        <w:rPr>
          <w:rFonts w:cstheme="minorHAnsi"/>
          <w:color w:val="000000"/>
          <w:shd w:val="clear" w:color="auto" w:fill="FFFFFF"/>
        </w:rPr>
        <w:t xml:space="preserve"> v </w:t>
      </w:r>
      <w:r w:rsidRPr="003141A4">
        <w:rPr>
          <w:rFonts w:cstheme="minorHAnsi"/>
          <w:i/>
          <w:color w:val="000000"/>
          <w:shd w:val="clear" w:color="auto" w:fill="FFFFFF"/>
        </w:rPr>
        <w:t>NRG Victory Reinsurance</w:t>
      </w:r>
      <w:r>
        <w:rPr>
          <w:rFonts w:cstheme="minorHAnsi"/>
          <w:color w:val="000000"/>
          <w:shd w:val="clear" w:color="auto" w:fill="FFFFFF"/>
        </w:rPr>
        <w:t xml:space="preserve"> [1998] 2 Lloyd’s Rep 600</w:t>
      </w:r>
    </w:p>
    <w:p w:rsidR="00386323" w:rsidRDefault="00386323" w:rsidP="0068427E">
      <w:pPr>
        <w:rPr>
          <w:rFonts w:cstheme="minorHAnsi"/>
          <w:color w:val="000000"/>
          <w:shd w:val="clear" w:color="auto" w:fill="FFFFFF"/>
        </w:rPr>
      </w:pPr>
      <w:r>
        <w:rPr>
          <w:rFonts w:cstheme="minorHAnsi"/>
          <w:color w:val="000000"/>
          <w:shd w:val="clear" w:color="auto" w:fill="FFFFFF"/>
        </w:rPr>
        <w:t xml:space="preserve">[SLIDE </w:t>
      </w:r>
      <w:r w:rsidR="002C5571">
        <w:rPr>
          <w:rFonts w:cstheme="minorHAnsi"/>
          <w:color w:val="000000"/>
          <w:shd w:val="clear" w:color="auto" w:fill="FFFFFF"/>
        </w:rPr>
        <w:t>6</w:t>
      </w:r>
      <w:r>
        <w:rPr>
          <w:rFonts w:cstheme="minorHAnsi"/>
          <w:color w:val="000000"/>
          <w:shd w:val="clear" w:color="auto" w:fill="FFFFFF"/>
        </w:rPr>
        <w:t>]</w:t>
      </w:r>
    </w:p>
    <w:p w:rsidR="003141A4" w:rsidRDefault="00386323" w:rsidP="0068427E">
      <w:pPr>
        <w:rPr>
          <w:rFonts w:cstheme="minorHAnsi"/>
          <w:color w:val="000000"/>
          <w:shd w:val="clear" w:color="auto" w:fill="FFFFFF"/>
        </w:rPr>
      </w:pPr>
      <w:r w:rsidRPr="00EC4245">
        <w:rPr>
          <w:rFonts w:cstheme="minorHAnsi"/>
          <w:i/>
          <w:color w:val="000000"/>
          <w:shd w:val="clear" w:color="auto" w:fill="FFFFFF"/>
        </w:rPr>
        <w:t>With</w:t>
      </w:r>
      <w:r>
        <w:rPr>
          <w:rFonts w:cstheme="minorHAnsi"/>
          <w:color w:val="000000"/>
          <w:shd w:val="clear" w:color="auto" w:fill="FFFFFF"/>
        </w:rPr>
        <w:t xml:space="preserve"> follow settlements cl</w:t>
      </w:r>
      <w:r w:rsidR="00EC4245">
        <w:rPr>
          <w:rFonts w:cstheme="minorHAnsi"/>
          <w:color w:val="000000"/>
          <w:shd w:val="clear" w:color="auto" w:fill="FFFFFF"/>
        </w:rPr>
        <w:t>a</w:t>
      </w:r>
      <w:r>
        <w:rPr>
          <w:rFonts w:cstheme="minorHAnsi"/>
          <w:color w:val="000000"/>
          <w:shd w:val="clear" w:color="auto" w:fill="FFFFFF"/>
        </w:rPr>
        <w:t>use:</w:t>
      </w:r>
    </w:p>
    <w:p w:rsidR="00EC4245" w:rsidRDefault="00386323" w:rsidP="0068427E">
      <w:pPr>
        <w:rPr>
          <w:rFonts w:cstheme="minorHAnsi"/>
          <w:color w:val="000000"/>
          <w:shd w:val="clear" w:color="auto" w:fill="FFFFFF"/>
        </w:rPr>
      </w:pPr>
      <w:r>
        <w:rPr>
          <w:rFonts w:cstheme="minorHAnsi"/>
          <w:color w:val="000000"/>
          <w:shd w:val="clear" w:color="auto" w:fill="FFFFFF"/>
        </w:rPr>
        <w:tab/>
      </w:r>
      <w:r w:rsidR="00EC4245" w:rsidRPr="00EC4245">
        <w:rPr>
          <w:rFonts w:cstheme="minorHAnsi"/>
          <w:color w:val="000000"/>
          <w:shd w:val="clear" w:color="auto" w:fill="FFFFFF"/>
        </w:rPr>
        <w:t xml:space="preserve">“... </w:t>
      </w:r>
      <w:r w:rsidRPr="00EC4245">
        <w:rPr>
          <w:rFonts w:cstheme="minorHAnsi"/>
          <w:color w:val="000000"/>
          <w:shd w:val="clear" w:color="auto" w:fill="FFFFFF"/>
        </w:rPr>
        <w:t xml:space="preserve">the effect of a clause binding reinsurers to follow settlements of the insurers, is that the reinsurers agree to indemnify insurers in the event that they settle a claim by their assured, i.e., when they dispose, or bind themselves to dispose, of a claim, whether by reason of admission or compromise, provided that the claim so recognized by them falls within the risks covered by the policy of reinsurance as a matter of law, and provided also that in settling the claim the insurers have acted honestly and have taken all proper and </w:t>
      </w:r>
      <w:proofErr w:type="spellStart"/>
      <w:r w:rsidRPr="00EC4245">
        <w:rPr>
          <w:rFonts w:cstheme="minorHAnsi"/>
          <w:color w:val="000000"/>
          <w:shd w:val="clear" w:color="auto" w:fill="FFFFFF"/>
        </w:rPr>
        <w:t>businesslike</w:t>
      </w:r>
      <w:proofErr w:type="spellEnd"/>
      <w:r w:rsidRPr="00EC4245">
        <w:rPr>
          <w:rFonts w:cstheme="minorHAnsi"/>
          <w:color w:val="000000"/>
          <w:shd w:val="clear" w:color="auto" w:fill="FFFFFF"/>
        </w:rPr>
        <w:t xml:space="preserve"> steps in making the settlement.</w:t>
      </w:r>
      <w:r w:rsidR="00EC4245" w:rsidRPr="00EC4245">
        <w:rPr>
          <w:rFonts w:cstheme="minorHAnsi"/>
          <w:color w:val="000000"/>
          <w:shd w:val="clear" w:color="auto" w:fill="FFFFFF"/>
        </w:rPr>
        <w:t>”</w:t>
      </w:r>
    </w:p>
    <w:p w:rsidR="00386323" w:rsidRDefault="00EC4245" w:rsidP="0068427E">
      <w:pPr>
        <w:rPr>
          <w:rStyle w:val="apple-converted-space"/>
          <w:rFonts w:cstheme="minorHAnsi"/>
          <w:color w:val="000000"/>
          <w:shd w:val="clear" w:color="auto" w:fill="FFFFFF"/>
        </w:rPr>
      </w:pPr>
      <w:r>
        <w:rPr>
          <w:rFonts w:cstheme="minorHAnsi"/>
          <w:color w:val="000000"/>
          <w:shd w:val="clear" w:color="auto" w:fill="FFFFFF"/>
        </w:rPr>
        <w:tab/>
      </w:r>
      <w:r>
        <w:rPr>
          <w:rFonts w:cstheme="minorHAnsi"/>
          <w:color w:val="000000"/>
          <w:shd w:val="clear" w:color="auto" w:fill="FFFFFF"/>
        </w:rPr>
        <w:tab/>
      </w:r>
      <w:r w:rsidRPr="0095420F">
        <w:rPr>
          <w:rFonts w:cstheme="minorHAnsi"/>
          <w:i/>
          <w:color w:val="000000"/>
          <w:shd w:val="clear" w:color="auto" w:fill="FFFFFF"/>
        </w:rPr>
        <w:t>Insurance Company of Africa</w:t>
      </w:r>
      <w:r>
        <w:rPr>
          <w:rFonts w:cstheme="minorHAnsi"/>
          <w:color w:val="000000"/>
          <w:shd w:val="clear" w:color="auto" w:fill="FFFFFF"/>
        </w:rPr>
        <w:t xml:space="preserve"> v </w:t>
      </w:r>
      <w:r w:rsidRPr="0095420F">
        <w:rPr>
          <w:rFonts w:cstheme="minorHAnsi"/>
          <w:i/>
          <w:color w:val="000000"/>
          <w:shd w:val="clear" w:color="auto" w:fill="FFFFFF"/>
        </w:rPr>
        <w:t>SCOR</w:t>
      </w:r>
      <w:r>
        <w:rPr>
          <w:rFonts w:cstheme="minorHAnsi"/>
          <w:color w:val="000000"/>
          <w:shd w:val="clear" w:color="auto" w:fill="FFFFFF"/>
        </w:rPr>
        <w:t xml:space="preserve"> [1985] 1 Lloyd’s Rep 312, 330, Robert Goff LJ</w:t>
      </w:r>
      <w:r w:rsidR="00386323" w:rsidRPr="00EC4245">
        <w:rPr>
          <w:rStyle w:val="apple-converted-space"/>
          <w:rFonts w:cstheme="minorHAnsi"/>
          <w:color w:val="000000"/>
          <w:shd w:val="clear" w:color="auto" w:fill="FFFFFF"/>
        </w:rPr>
        <w:t> </w:t>
      </w:r>
    </w:p>
    <w:p w:rsidR="00304FF7" w:rsidRDefault="00304FF7" w:rsidP="0068427E">
      <w:pPr>
        <w:rPr>
          <w:rStyle w:val="apple-converted-space"/>
          <w:rFonts w:cstheme="minorHAnsi"/>
          <w:color w:val="000000"/>
          <w:shd w:val="clear" w:color="auto" w:fill="FFFFFF"/>
        </w:rPr>
      </w:pPr>
      <w:r>
        <w:rPr>
          <w:rStyle w:val="apple-converted-space"/>
          <w:rFonts w:cstheme="minorHAnsi"/>
          <w:color w:val="000000"/>
          <w:shd w:val="clear" w:color="auto" w:fill="FFFFFF"/>
        </w:rPr>
        <w:t xml:space="preserve">Onus on reinsurer to establish settlement not reasonable or in good faith: </w:t>
      </w:r>
    </w:p>
    <w:p w:rsidR="0095420F" w:rsidRDefault="00304FF7" w:rsidP="0068427E">
      <w:pPr>
        <w:rPr>
          <w:rStyle w:val="apple-converted-space"/>
          <w:rFonts w:cstheme="minorHAnsi"/>
          <w:color w:val="000000"/>
          <w:shd w:val="clear" w:color="auto" w:fill="FFFFFF"/>
        </w:rPr>
      </w:pPr>
      <w:r>
        <w:rPr>
          <w:rStyle w:val="apple-converted-space"/>
          <w:rFonts w:cstheme="minorHAnsi"/>
          <w:color w:val="000000"/>
          <w:shd w:val="clear" w:color="auto" w:fill="FFFFFF"/>
        </w:rPr>
        <w:tab/>
      </w:r>
      <w:r>
        <w:rPr>
          <w:rStyle w:val="apple-converted-space"/>
          <w:rFonts w:cstheme="minorHAnsi"/>
          <w:color w:val="000000"/>
          <w:shd w:val="clear" w:color="auto" w:fill="FFFFFF"/>
        </w:rPr>
        <w:tab/>
      </w:r>
      <w:r>
        <w:rPr>
          <w:rStyle w:val="apple-converted-space"/>
          <w:rFonts w:cstheme="minorHAnsi"/>
          <w:color w:val="000000"/>
          <w:shd w:val="clear" w:color="auto" w:fill="FFFFFF"/>
        </w:rPr>
        <w:tab/>
      </w:r>
      <w:r>
        <w:rPr>
          <w:rStyle w:val="apple-converted-space"/>
          <w:rFonts w:cstheme="minorHAnsi"/>
          <w:color w:val="000000"/>
          <w:shd w:val="clear" w:color="auto" w:fill="FFFFFF"/>
        </w:rPr>
        <w:tab/>
      </w:r>
      <w:r>
        <w:rPr>
          <w:rStyle w:val="apple-converted-space"/>
          <w:rFonts w:cstheme="minorHAnsi"/>
          <w:color w:val="000000"/>
          <w:shd w:val="clear" w:color="auto" w:fill="FFFFFF"/>
        </w:rPr>
        <w:tab/>
      </w:r>
      <w:proofErr w:type="spellStart"/>
      <w:proofErr w:type="gramStart"/>
      <w:r>
        <w:rPr>
          <w:rStyle w:val="apple-converted-space"/>
          <w:rFonts w:cstheme="minorHAnsi"/>
          <w:color w:val="000000"/>
          <w:shd w:val="clear" w:color="auto" w:fill="FFFFFF"/>
        </w:rPr>
        <w:t>eg</w:t>
      </w:r>
      <w:proofErr w:type="spellEnd"/>
      <w:proofErr w:type="gramEnd"/>
      <w:r>
        <w:rPr>
          <w:rStyle w:val="apple-converted-space"/>
          <w:rFonts w:cstheme="minorHAnsi"/>
          <w:color w:val="000000"/>
          <w:shd w:val="clear" w:color="auto" w:fill="FFFFFF"/>
        </w:rPr>
        <w:t xml:space="preserve"> </w:t>
      </w:r>
      <w:proofErr w:type="spellStart"/>
      <w:r w:rsidRPr="00304FF7">
        <w:rPr>
          <w:rStyle w:val="apple-converted-space"/>
          <w:rFonts w:cstheme="minorHAnsi"/>
          <w:i/>
          <w:color w:val="000000"/>
          <w:shd w:val="clear" w:color="auto" w:fill="FFFFFF"/>
        </w:rPr>
        <w:t>Charma</w:t>
      </w:r>
      <w:r>
        <w:rPr>
          <w:rStyle w:val="apple-converted-space"/>
          <w:rFonts w:cstheme="minorHAnsi"/>
          <w:color w:val="000000"/>
          <w:shd w:val="clear" w:color="auto" w:fill="FFFFFF"/>
        </w:rPr>
        <w:t>n</w:t>
      </w:r>
      <w:proofErr w:type="spellEnd"/>
      <w:r>
        <w:rPr>
          <w:rStyle w:val="apple-converted-space"/>
          <w:rFonts w:cstheme="minorHAnsi"/>
          <w:color w:val="000000"/>
          <w:shd w:val="clear" w:color="auto" w:fill="FFFFFF"/>
        </w:rPr>
        <w:t xml:space="preserve"> v </w:t>
      </w:r>
      <w:r w:rsidRPr="00304FF7">
        <w:rPr>
          <w:rStyle w:val="apple-converted-space"/>
          <w:rFonts w:cstheme="minorHAnsi"/>
          <w:i/>
          <w:color w:val="000000"/>
          <w:shd w:val="clear" w:color="auto" w:fill="FFFFFF"/>
        </w:rPr>
        <w:t>GRE</w:t>
      </w:r>
      <w:r>
        <w:rPr>
          <w:rStyle w:val="apple-converted-space"/>
          <w:rFonts w:cstheme="minorHAnsi"/>
          <w:color w:val="000000"/>
          <w:shd w:val="clear" w:color="auto" w:fill="FFFFFF"/>
        </w:rPr>
        <w:t xml:space="preserve"> [1992] 2 Lloyd’s Rep 607</w:t>
      </w:r>
    </w:p>
    <w:p w:rsidR="00304FF7" w:rsidRDefault="0095420F" w:rsidP="0068427E">
      <w:pPr>
        <w:rPr>
          <w:rStyle w:val="apple-converted-space"/>
          <w:rFonts w:cstheme="minorHAnsi"/>
          <w:color w:val="000000"/>
          <w:shd w:val="clear" w:color="auto" w:fill="FFFFFF"/>
        </w:rPr>
      </w:pPr>
      <w:r>
        <w:rPr>
          <w:rStyle w:val="apple-converted-space"/>
          <w:rFonts w:cstheme="minorHAnsi"/>
          <w:color w:val="000000"/>
          <w:shd w:val="clear" w:color="auto" w:fill="FFFFFF"/>
        </w:rPr>
        <w:t xml:space="preserve">[SLIDE </w:t>
      </w:r>
      <w:r w:rsidR="002C5571">
        <w:rPr>
          <w:rStyle w:val="apple-converted-space"/>
          <w:rFonts w:cstheme="minorHAnsi"/>
          <w:color w:val="000000"/>
          <w:shd w:val="clear" w:color="auto" w:fill="FFFFFF"/>
        </w:rPr>
        <w:t>7</w:t>
      </w:r>
      <w:r>
        <w:rPr>
          <w:rStyle w:val="apple-converted-space"/>
          <w:rFonts w:cstheme="minorHAnsi"/>
          <w:color w:val="000000"/>
          <w:shd w:val="clear" w:color="auto" w:fill="FFFFFF"/>
        </w:rPr>
        <w:t>]</w:t>
      </w:r>
    </w:p>
    <w:p w:rsidR="0095420F" w:rsidRPr="00184AC5" w:rsidRDefault="00184AC5" w:rsidP="0068427E">
      <w:pPr>
        <w:rPr>
          <w:rFonts w:cstheme="minorHAnsi"/>
          <w:b/>
          <w:color w:val="000000"/>
          <w:shd w:val="clear" w:color="auto" w:fill="FFFFFF"/>
        </w:rPr>
      </w:pPr>
      <w:r w:rsidRPr="00184AC5">
        <w:rPr>
          <w:rStyle w:val="apple-converted-space"/>
          <w:rFonts w:cstheme="minorHAnsi"/>
          <w:b/>
          <w:color w:val="000000"/>
          <w:shd w:val="clear" w:color="auto" w:fill="FFFFFF"/>
        </w:rPr>
        <w:t>Claims clauses</w:t>
      </w:r>
      <w:r w:rsidR="0095420F" w:rsidRPr="00184AC5">
        <w:rPr>
          <w:rStyle w:val="apple-converted-space"/>
          <w:rFonts w:cstheme="minorHAnsi"/>
          <w:b/>
          <w:color w:val="000000"/>
          <w:shd w:val="clear" w:color="auto" w:fill="FFFFFF"/>
        </w:rPr>
        <w:t xml:space="preserve"> </w:t>
      </w:r>
    </w:p>
    <w:p w:rsidR="002B53ED" w:rsidRDefault="00184AC5" w:rsidP="007D6E19">
      <w:pPr>
        <w:pStyle w:val="ListParagraph"/>
        <w:numPr>
          <w:ilvl w:val="0"/>
          <w:numId w:val="2"/>
        </w:numPr>
        <w:rPr>
          <w:rFonts w:cstheme="minorHAnsi"/>
        </w:rPr>
      </w:pPr>
      <w:r w:rsidRPr="007D6E19">
        <w:rPr>
          <w:rFonts w:cstheme="minorHAnsi"/>
        </w:rPr>
        <w:t xml:space="preserve">Claims co-operation clauses v claims control clauses </w:t>
      </w:r>
      <w:r w:rsidR="005169B9">
        <w:rPr>
          <w:rFonts w:cstheme="minorHAnsi"/>
        </w:rPr>
        <w:t>(</w:t>
      </w:r>
      <w:proofErr w:type="spellStart"/>
      <w:r w:rsidR="005169B9">
        <w:rPr>
          <w:rFonts w:cstheme="minorHAnsi"/>
        </w:rPr>
        <w:t>esp</w:t>
      </w:r>
      <w:proofErr w:type="spellEnd"/>
      <w:r w:rsidR="005169B9">
        <w:rPr>
          <w:rFonts w:cstheme="minorHAnsi"/>
        </w:rPr>
        <w:t xml:space="preserve"> in fronting policies)</w:t>
      </w:r>
    </w:p>
    <w:p w:rsidR="002C5571" w:rsidRDefault="002C5571" w:rsidP="007D6E19">
      <w:pPr>
        <w:pStyle w:val="ListParagraph"/>
        <w:numPr>
          <w:ilvl w:val="0"/>
          <w:numId w:val="2"/>
        </w:numPr>
        <w:rPr>
          <w:rFonts w:cstheme="minorHAnsi"/>
        </w:rPr>
      </w:pPr>
      <w:r>
        <w:rPr>
          <w:rFonts w:cstheme="minorHAnsi"/>
        </w:rPr>
        <w:t>Claims co-operation: consultation; sometimes prohibits settlement without reinsurer’s written approval</w:t>
      </w:r>
    </w:p>
    <w:p w:rsidR="002C5571" w:rsidRDefault="002C5571" w:rsidP="007D6E19">
      <w:pPr>
        <w:pStyle w:val="ListParagraph"/>
        <w:numPr>
          <w:ilvl w:val="0"/>
          <w:numId w:val="2"/>
        </w:numPr>
        <w:rPr>
          <w:rFonts w:cstheme="minorHAnsi"/>
        </w:rPr>
      </w:pPr>
      <w:r>
        <w:rPr>
          <w:rFonts w:cstheme="minorHAnsi"/>
        </w:rPr>
        <w:t>Claims control: right of insurer to determine/take over  conduct of proceedings</w:t>
      </w:r>
    </w:p>
    <w:p w:rsidR="007D6E19" w:rsidRPr="007D6E19" w:rsidRDefault="007D6E19" w:rsidP="007D6E19">
      <w:pPr>
        <w:pStyle w:val="ListParagraph"/>
        <w:numPr>
          <w:ilvl w:val="0"/>
          <w:numId w:val="2"/>
        </w:numPr>
        <w:rPr>
          <w:rFonts w:cstheme="minorHAnsi"/>
        </w:rPr>
      </w:pPr>
      <w:r w:rsidRPr="007D6E19">
        <w:rPr>
          <w:rFonts w:cstheme="minorHAnsi"/>
        </w:rPr>
        <w:t xml:space="preserve">Where no claims clause, reinsurer has no right to be consulted about or involved in settlement of claims , or amount of settlement: </w:t>
      </w:r>
      <w:proofErr w:type="spellStart"/>
      <w:r w:rsidRPr="007D6E19">
        <w:rPr>
          <w:rFonts w:cstheme="minorHAnsi"/>
          <w:i/>
        </w:rPr>
        <w:t>Charman</w:t>
      </w:r>
      <w:proofErr w:type="spellEnd"/>
      <w:r w:rsidRPr="007D6E19">
        <w:rPr>
          <w:rFonts w:cstheme="minorHAnsi"/>
        </w:rPr>
        <w:t xml:space="preserve"> v </w:t>
      </w:r>
      <w:r w:rsidRPr="007D6E19">
        <w:rPr>
          <w:rFonts w:cstheme="minorHAnsi"/>
          <w:i/>
        </w:rPr>
        <w:t xml:space="preserve">GRE </w:t>
      </w:r>
      <w:r w:rsidRPr="007D6E19">
        <w:rPr>
          <w:rFonts w:cstheme="minorHAnsi"/>
        </w:rPr>
        <w:t xml:space="preserve"> </w:t>
      </w:r>
    </w:p>
    <w:p w:rsidR="007D6E19" w:rsidRPr="00F650E0" w:rsidRDefault="007D6E19" w:rsidP="007D6E19">
      <w:pPr>
        <w:pStyle w:val="ListParagraph"/>
        <w:numPr>
          <w:ilvl w:val="0"/>
          <w:numId w:val="2"/>
        </w:numPr>
        <w:rPr>
          <w:rFonts w:cstheme="minorHAnsi"/>
        </w:rPr>
      </w:pPr>
      <w:r>
        <w:rPr>
          <w:rFonts w:cstheme="minorHAnsi"/>
        </w:rPr>
        <w:t xml:space="preserve">Inconsistency between claims clause requiring reinsurer’s approval of settlements and follow the settlements clause – need </w:t>
      </w:r>
      <w:r w:rsidR="005169B9">
        <w:rPr>
          <w:rFonts w:cstheme="minorHAnsi"/>
        </w:rPr>
        <w:t xml:space="preserve">for reassured </w:t>
      </w:r>
      <w:r>
        <w:rPr>
          <w:rFonts w:cstheme="minorHAnsi"/>
        </w:rPr>
        <w:t>to prove liability</w:t>
      </w:r>
      <w:r w:rsidR="00F650E0">
        <w:rPr>
          <w:rFonts w:cstheme="minorHAnsi"/>
        </w:rPr>
        <w:t xml:space="preserve">: </w:t>
      </w:r>
      <w:r w:rsidR="00F650E0" w:rsidRPr="00F650E0">
        <w:rPr>
          <w:rFonts w:cstheme="minorHAnsi"/>
          <w:i/>
        </w:rPr>
        <w:t>ICA</w:t>
      </w:r>
      <w:r w:rsidR="00F650E0">
        <w:rPr>
          <w:rFonts w:cstheme="minorHAnsi"/>
        </w:rPr>
        <w:t xml:space="preserve"> v </w:t>
      </w:r>
      <w:r w:rsidR="00F650E0" w:rsidRPr="00F650E0">
        <w:rPr>
          <w:rFonts w:cstheme="minorHAnsi"/>
          <w:i/>
        </w:rPr>
        <w:t>SCOR</w:t>
      </w:r>
    </w:p>
    <w:p w:rsidR="00F650E0" w:rsidRDefault="00F650E0" w:rsidP="007D6E19">
      <w:pPr>
        <w:pStyle w:val="ListParagraph"/>
        <w:numPr>
          <w:ilvl w:val="0"/>
          <w:numId w:val="2"/>
        </w:numPr>
        <w:rPr>
          <w:rFonts w:cstheme="minorHAnsi"/>
        </w:rPr>
      </w:pPr>
      <w:r>
        <w:rPr>
          <w:rFonts w:cstheme="minorHAnsi"/>
        </w:rPr>
        <w:t xml:space="preserve">Where claims control/requirement for reinsurer consent is </w:t>
      </w:r>
      <w:r w:rsidRPr="005169B9">
        <w:rPr>
          <w:rFonts w:cstheme="minorHAnsi"/>
          <w:i/>
        </w:rPr>
        <w:t>condition precedent</w:t>
      </w:r>
      <w:r>
        <w:rPr>
          <w:rFonts w:cstheme="minorHAnsi"/>
        </w:rPr>
        <w:t xml:space="preserve">, duty not to withhold consent unreasonably: </w:t>
      </w:r>
      <w:proofErr w:type="spellStart"/>
      <w:r w:rsidRPr="000B3E56">
        <w:rPr>
          <w:rFonts w:cstheme="minorHAnsi"/>
          <w:i/>
        </w:rPr>
        <w:t>Gan</w:t>
      </w:r>
      <w:proofErr w:type="spellEnd"/>
      <w:r>
        <w:rPr>
          <w:rFonts w:cstheme="minorHAnsi"/>
        </w:rPr>
        <w:t xml:space="preserve"> v </w:t>
      </w:r>
      <w:r w:rsidRPr="000B3E56">
        <w:rPr>
          <w:rFonts w:cstheme="minorHAnsi"/>
          <w:i/>
        </w:rPr>
        <w:t>Tai Ping (No.2)</w:t>
      </w:r>
      <w:r>
        <w:rPr>
          <w:rFonts w:cstheme="minorHAnsi"/>
        </w:rPr>
        <w:t xml:space="preserve"> </w:t>
      </w:r>
      <w:r w:rsidR="000B3E56">
        <w:rPr>
          <w:rFonts w:cstheme="minorHAnsi"/>
        </w:rPr>
        <w:t xml:space="preserve"> [2001] Lloyd’s Rep IR 667</w:t>
      </w:r>
    </w:p>
    <w:p w:rsidR="000B3E56" w:rsidRDefault="000B3E56">
      <w:pPr>
        <w:rPr>
          <w:rFonts w:cstheme="minorHAnsi"/>
        </w:rPr>
      </w:pPr>
      <w:r>
        <w:rPr>
          <w:rFonts w:cstheme="minorHAnsi"/>
        </w:rPr>
        <w:br w:type="page"/>
      </w:r>
    </w:p>
    <w:p w:rsidR="000B3E56" w:rsidRDefault="000B3E56" w:rsidP="000B3E56">
      <w:pPr>
        <w:pStyle w:val="ListParagraph"/>
        <w:rPr>
          <w:rFonts w:cstheme="minorHAnsi"/>
        </w:rPr>
      </w:pPr>
    </w:p>
    <w:p w:rsidR="00064C8B" w:rsidRDefault="00F650E0">
      <w:r w:rsidRPr="00F650E0">
        <w:t xml:space="preserve">[SLIDE </w:t>
      </w:r>
      <w:r w:rsidR="000B3E56">
        <w:t>8</w:t>
      </w:r>
      <w:r w:rsidR="005169B9">
        <w:t>]</w:t>
      </w:r>
    </w:p>
    <w:p w:rsidR="005169B9" w:rsidRPr="002D7DD6" w:rsidRDefault="00FF004F" w:rsidP="005169B9">
      <w:pPr>
        <w:ind w:left="720" w:hanging="720"/>
        <w:rPr>
          <w:rFonts w:cstheme="minorHAnsi"/>
          <w:b/>
        </w:rPr>
      </w:pPr>
      <w:proofErr w:type="gramStart"/>
      <w:r w:rsidRPr="002D7DD6">
        <w:rPr>
          <w:rFonts w:cstheme="minorHAnsi"/>
          <w:b/>
        </w:rPr>
        <w:t>Compromise?</w:t>
      </w:r>
      <w:proofErr w:type="gramEnd"/>
    </w:p>
    <w:p w:rsidR="005169B9" w:rsidRDefault="005169B9" w:rsidP="00436177">
      <w:pPr>
        <w:pStyle w:val="ListParagraph"/>
        <w:numPr>
          <w:ilvl w:val="0"/>
          <w:numId w:val="5"/>
        </w:numPr>
        <w:rPr>
          <w:rFonts w:cstheme="minorHAnsi"/>
        </w:rPr>
      </w:pPr>
      <w:proofErr w:type="spellStart"/>
      <w:r>
        <w:rPr>
          <w:rFonts w:cstheme="minorHAnsi"/>
        </w:rPr>
        <w:t>Cedant</w:t>
      </w:r>
      <w:proofErr w:type="spellEnd"/>
      <w:r>
        <w:rPr>
          <w:rFonts w:cstheme="minorHAnsi"/>
        </w:rPr>
        <w:t xml:space="preserve"> to notify reinsurer of </w:t>
      </w:r>
      <w:r w:rsidR="00436177">
        <w:rPr>
          <w:rFonts w:cstheme="minorHAnsi"/>
        </w:rPr>
        <w:t xml:space="preserve">(a) </w:t>
      </w:r>
      <w:r>
        <w:rPr>
          <w:rFonts w:cstheme="minorHAnsi"/>
        </w:rPr>
        <w:t>[circumstance</w:t>
      </w:r>
      <w:r w:rsidRPr="005169B9">
        <w:rPr>
          <w:rFonts w:cstheme="minorHAnsi"/>
        </w:rPr>
        <w:t xml:space="preserve"> likely to give rise to a</w:t>
      </w:r>
      <w:r w:rsidR="00436177">
        <w:rPr>
          <w:rFonts w:cstheme="minorHAnsi"/>
        </w:rPr>
        <w:t>]</w:t>
      </w:r>
      <w:r w:rsidRPr="005169B9">
        <w:rPr>
          <w:rFonts w:cstheme="minorHAnsi"/>
        </w:rPr>
        <w:t xml:space="preserve"> claim under </w:t>
      </w:r>
      <w:r w:rsidR="00436177">
        <w:rPr>
          <w:rFonts w:cstheme="minorHAnsi"/>
        </w:rPr>
        <w:t>direct policy [in excess of specified limit]</w:t>
      </w:r>
      <w:r w:rsidRPr="005169B9">
        <w:rPr>
          <w:rFonts w:cstheme="minorHAnsi"/>
        </w:rPr>
        <w:t>, irrespective of whether the</w:t>
      </w:r>
      <w:r w:rsidR="00436177">
        <w:rPr>
          <w:rFonts w:cstheme="minorHAnsi"/>
        </w:rPr>
        <w:t xml:space="preserve"> </w:t>
      </w:r>
      <w:proofErr w:type="spellStart"/>
      <w:r w:rsidR="00436177">
        <w:rPr>
          <w:rFonts w:cstheme="minorHAnsi"/>
        </w:rPr>
        <w:t>Cedant</w:t>
      </w:r>
      <w:proofErr w:type="spellEnd"/>
      <w:r w:rsidRPr="005169B9">
        <w:rPr>
          <w:rFonts w:cstheme="minorHAnsi"/>
        </w:rPr>
        <w:t xml:space="preserve"> considers that it is or is likely to be liable in respect of such claim, and (b) </w:t>
      </w:r>
      <w:proofErr w:type="spellStart"/>
      <w:r w:rsidR="00436177">
        <w:rPr>
          <w:rFonts w:cstheme="minorHAnsi"/>
        </w:rPr>
        <w:t>C</w:t>
      </w:r>
      <w:r w:rsidRPr="005169B9">
        <w:rPr>
          <w:rFonts w:cstheme="minorHAnsi"/>
        </w:rPr>
        <w:t>edant’s</w:t>
      </w:r>
      <w:proofErr w:type="spellEnd"/>
      <w:r w:rsidRPr="005169B9">
        <w:rPr>
          <w:rFonts w:cstheme="minorHAnsi"/>
        </w:rPr>
        <w:t xml:space="preserve"> estimate of </w:t>
      </w:r>
      <w:r w:rsidR="00436177">
        <w:rPr>
          <w:rFonts w:cstheme="minorHAnsi"/>
        </w:rPr>
        <w:t>c</w:t>
      </w:r>
      <w:r w:rsidRPr="005169B9">
        <w:rPr>
          <w:rFonts w:cstheme="minorHAnsi"/>
        </w:rPr>
        <w:t xml:space="preserve">ost </w:t>
      </w:r>
      <w:r w:rsidR="00436177">
        <w:rPr>
          <w:rFonts w:cstheme="minorHAnsi"/>
        </w:rPr>
        <w:t>of claim.</w:t>
      </w:r>
    </w:p>
    <w:p w:rsidR="00436177" w:rsidRDefault="00436177" w:rsidP="00436177">
      <w:pPr>
        <w:pStyle w:val="ListParagraph"/>
        <w:numPr>
          <w:ilvl w:val="0"/>
          <w:numId w:val="5"/>
        </w:numPr>
        <w:rPr>
          <w:rFonts w:cstheme="minorHAnsi"/>
        </w:rPr>
      </w:pPr>
      <w:r w:rsidRPr="00436177">
        <w:rPr>
          <w:rFonts w:cstheme="minorHAnsi"/>
        </w:rPr>
        <w:t xml:space="preserve">Reinsurer entitled at its option to determine the adjustment, conduct, defence, compromise and settlement by the </w:t>
      </w:r>
      <w:proofErr w:type="spellStart"/>
      <w:r w:rsidRPr="00436177">
        <w:rPr>
          <w:rFonts w:cstheme="minorHAnsi"/>
        </w:rPr>
        <w:t>Cedant</w:t>
      </w:r>
      <w:proofErr w:type="spellEnd"/>
      <w:r w:rsidRPr="00436177">
        <w:rPr>
          <w:rFonts w:cstheme="minorHAnsi"/>
        </w:rPr>
        <w:t xml:space="preserve"> of any claim in excess of specified limit and any appeal from any judg</w:t>
      </w:r>
      <w:r>
        <w:rPr>
          <w:rFonts w:cstheme="minorHAnsi"/>
        </w:rPr>
        <w:t>m</w:t>
      </w:r>
      <w:r w:rsidRPr="00436177">
        <w:rPr>
          <w:rFonts w:cstheme="minorHAnsi"/>
        </w:rPr>
        <w:t xml:space="preserve">ent given or arbitral award made for or against </w:t>
      </w:r>
      <w:proofErr w:type="spellStart"/>
      <w:r w:rsidRPr="00436177">
        <w:rPr>
          <w:rFonts w:cstheme="minorHAnsi"/>
        </w:rPr>
        <w:t>Cedant</w:t>
      </w:r>
      <w:proofErr w:type="spellEnd"/>
      <w:r>
        <w:rPr>
          <w:rFonts w:cstheme="minorHAnsi"/>
        </w:rPr>
        <w:t>.</w:t>
      </w:r>
    </w:p>
    <w:p w:rsidR="00FF004F" w:rsidRPr="00FF004F" w:rsidRDefault="00FF004F" w:rsidP="00FF004F">
      <w:pPr>
        <w:pStyle w:val="ListParagraph"/>
        <w:numPr>
          <w:ilvl w:val="0"/>
          <w:numId w:val="5"/>
        </w:numPr>
        <w:rPr>
          <w:rFonts w:cstheme="minorHAnsi"/>
        </w:rPr>
      </w:pPr>
      <w:r w:rsidRPr="00FF004F">
        <w:rPr>
          <w:rFonts w:cstheme="minorHAnsi"/>
        </w:rPr>
        <w:t>Subject to (</w:t>
      </w:r>
      <w:r>
        <w:rPr>
          <w:rFonts w:cstheme="minorHAnsi"/>
        </w:rPr>
        <w:t>2</w:t>
      </w:r>
      <w:r w:rsidRPr="00FF004F">
        <w:rPr>
          <w:rFonts w:cstheme="minorHAnsi"/>
        </w:rPr>
        <w:t>)</w:t>
      </w:r>
      <w:r w:rsidR="000B3E56">
        <w:rPr>
          <w:rFonts w:cstheme="minorHAnsi"/>
        </w:rPr>
        <w:t>,</w:t>
      </w:r>
      <w:r w:rsidRPr="00FF004F">
        <w:rPr>
          <w:rFonts w:cstheme="minorHAnsi"/>
        </w:rPr>
        <w:t xml:space="preserve"> Reinsurer shall follow the settlements (including any compromise payments and, where they have been agreed by Reinsurer, ex gratia payments) of </w:t>
      </w:r>
      <w:proofErr w:type="spellStart"/>
      <w:r w:rsidRPr="00FF004F">
        <w:rPr>
          <w:rFonts w:cstheme="minorHAnsi"/>
        </w:rPr>
        <w:t>Cedant</w:t>
      </w:r>
      <w:proofErr w:type="spellEnd"/>
      <w:r w:rsidRPr="00FF004F">
        <w:rPr>
          <w:rFonts w:cstheme="minorHAnsi"/>
        </w:rPr>
        <w:t xml:space="preserve">, irrespective of whether </w:t>
      </w:r>
      <w:proofErr w:type="spellStart"/>
      <w:r w:rsidRPr="00FF004F">
        <w:rPr>
          <w:rFonts w:cstheme="minorHAnsi"/>
        </w:rPr>
        <w:t>Cedant’s</w:t>
      </w:r>
      <w:proofErr w:type="spellEnd"/>
      <w:r w:rsidRPr="00FF004F">
        <w:rPr>
          <w:rFonts w:cstheme="minorHAnsi"/>
        </w:rPr>
        <w:t xml:space="preserve"> liability has been proved, and shall be bound by any judgments/ arbitral awards against </w:t>
      </w:r>
      <w:proofErr w:type="spellStart"/>
      <w:r w:rsidRPr="00FF004F">
        <w:rPr>
          <w:rFonts w:cstheme="minorHAnsi"/>
        </w:rPr>
        <w:t>Cedant</w:t>
      </w:r>
      <w:proofErr w:type="spellEnd"/>
      <w:r w:rsidRPr="00FF004F">
        <w:rPr>
          <w:rFonts w:cstheme="minorHAnsi"/>
        </w:rPr>
        <w:t>.</w:t>
      </w:r>
    </w:p>
    <w:p w:rsidR="00FF004F" w:rsidRDefault="00FF004F" w:rsidP="00FF004F">
      <w:pPr>
        <w:pStyle w:val="ListParagraph"/>
        <w:rPr>
          <w:rFonts w:cstheme="minorHAnsi"/>
        </w:rPr>
      </w:pPr>
    </w:p>
    <w:sectPr w:rsidR="00FF004F" w:rsidSect="00964B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9E" w:rsidRDefault="00913A9E" w:rsidP="007E5CF2">
      <w:pPr>
        <w:spacing w:after="0" w:line="240" w:lineRule="auto"/>
      </w:pPr>
      <w:r>
        <w:separator/>
      </w:r>
    </w:p>
  </w:endnote>
  <w:endnote w:type="continuationSeparator" w:id="0">
    <w:p w:rsidR="00913A9E" w:rsidRDefault="00913A9E" w:rsidP="007E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9E" w:rsidRDefault="00913A9E" w:rsidP="007E5CF2">
      <w:pPr>
        <w:spacing w:after="0" w:line="240" w:lineRule="auto"/>
      </w:pPr>
      <w:r>
        <w:separator/>
      </w:r>
    </w:p>
  </w:footnote>
  <w:footnote w:type="continuationSeparator" w:id="0">
    <w:p w:rsidR="00913A9E" w:rsidRDefault="00913A9E" w:rsidP="007E5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CF2" w:rsidRDefault="007E5CF2" w:rsidP="007E5CF2">
    <w:pPr>
      <w:pStyle w:val="Header"/>
      <w:jc w:val="right"/>
    </w:pPr>
    <w:r>
      <w:t>AIDA - FS/CC 090912</w:t>
    </w:r>
  </w:p>
  <w:p w:rsidR="007E5CF2" w:rsidRDefault="007E5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81A"/>
    <w:multiLevelType w:val="hybridMultilevel"/>
    <w:tmpl w:val="2BA8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34D55"/>
    <w:multiLevelType w:val="hybridMultilevel"/>
    <w:tmpl w:val="0472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C0CB0"/>
    <w:multiLevelType w:val="hybridMultilevel"/>
    <w:tmpl w:val="00A660D2"/>
    <w:lvl w:ilvl="0" w:tplc="99B2E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B7479C"/>
    <w:multiLevelType w:val="hybridMultilevel"/>
    <w:tmpl w:val="CF6E6F28"/>
    <w:lvl w:ilvl="0" w:tplc="9DD2F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7C43F1"/>
    <w:multiLevelType w:val="hybridMultilevel"/>
    <w:tmpl w:val="729678F4"/>
    <w:lvl w:ilvl="0" w:tplc="9DD2F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4C8B"/>
    <w:rsid w:val="00064C8B"/>
    <w:rsid w:val="000B3E56"/>
    <w:rsid w:val="00184AC5"/>
    <w:rsid w:val="002B53ED"/>
    <w:rsid w:val="002C5571"/>
    <w:rsid w:val="002D7DD6"/>
    <w:rsid w:val="00304FF7"/>
    <w:rsid w:val="003141A4"/>
    <w:rsid w:val="00386323"/>
    <w:rsid w:val="00436177"/>
    <w:rsid w:val="005169B9"/>
    <w:rsid w:val="00576706"/>
    <w:rsid w:val="0068427E"/>
    <w:rsid w:val="007D6E19"/>
    <w:rsid w:val="007E5CF2"/>
    <w:rsid w:val="00913A9E"/>
    <w:rsid w:val="0095420F"/>
    <w:rsid w:val="00964B3A"/>
    <w:rsid w:val="00B90A3C"/>
    <w:rsid w:val="00C05F6F"/>
    <w:rsid w:val="00C52456"/>
    <w:rsid w:val="00EC4245"/>
    <w:rsid w:val="00F650E0"/>
    <w:rsid w:val="00FD6839"/>
    <w:rsid w:val="00FF0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CF2"/>
  </w:style>
  <w:style w:type="paragraph" w:styleId="Footer">
    <w:name w:val="footer"/>
    <w:basedOn w:val="Normal"/>
    <w:link w:val="FooterChar"/>
    <w:uiPriority w:val="99"/>
    <w:semiHidden/>
    <w:unhideWhenUsed/>
    <w:rsid w:val="007E5C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5CF2"/>
  </w:style>
  <w:style w:type="paragraph" w:styleId="ListParagraph">
    <w:name w:val="List Paragraph"/>
    <w:basedOn w:val="Normal"/>
    <w:uiPriority w:val="34"/>
    <w:qFormat/>
    <w:rsid w:val="0068427E"/>
    <w:pPr>
      <w:ind w:left="720"/>
      <w:contextualSpacing/>
    </w:pPr>
  </w:style>
  <w:style w:type="character" w:customStyle="1" w:styleId="apple-converted-space">
    <w:name w:val="apple-converted-space"/>
    <w:basedOn w:val="DefaultParagraphFont"/>
    <w:rsid w:val="003863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3E876-14E6-46F7-A0CD-2DA572A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 Dellimore</cp:lastModifiedBy>
  <cp:revision>2</cp:revision>
  <dcterms:created xsi:type="dcterms:W3CDTF">2012-11-09T10:50:00Z</dcterms:created>
  <dcterms:modified xsi:type="dcterms:W3CDTF">2012-11-09T10:50:00Z</dcterms:modified>
</cp:coreProperties>
</file>