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4A" w:rsidRDefault="00E91F4A" w:rsidP="00BC484E">
      <w:pPr>
        <w:rPr>
          <w:rFonts w:ascii="Arial" w:hAnsi="Arial" w:cs="Arial"/>
          <w:i/>
          <w:lang w:val="en-GB"/>
        </w:rPr>
      </w:pPr>
      <w:r>
        <w:rPr>
          <w:rFonts w:ascii="Arial" w:hAnsi="Arial" w:cs="Arial"/>
          <w:i/>
          <w:lang w:val="en-GB"/>
        </w:rPr>
        <w:t>Søren Theilgaard, Head of Legal Scandinavia, Chartis Europe</w:t>
      </w:r>
    </w:p>
    <w:p w:rsidR="00E91F4A" w:rsidRDefault="00E91F4A" w:rsidP="00BC484E">
      <w:pPr>
        <w:rPr>
          <w:rFonts w:ascii="Arial" w:hAnsi="Arial" w:cs="Arial"/>
          <w:lang w:val="en-GB"/>
        </w:rPr>
      </w:pPr>
    </w:p>
    <w:p w:rsidR="00E91F4A" w:rsidRDefault="00E91F4A" w:rsidP="00BC484E">
      <w:pPr>
        <w:rPr>
          <w:rFonts w:ascii="Arial" w:hAnsi="Arial" w:cs="Arial"/>
          <w:lang w:val="en-GB"/>
        </w:rPr>
      </w:pPr>
    </w:p>
    <w:p w:rsidR="00E91F4A" w:rsidRDefault="00E91F4A" w:rsidP="00BC484E">
      <w:pPr>
        <w:rPr>
          <w:rFonts w:ascii="Arial" w:hAnsi="Arial" w:cs="Arial"/>
          <w:b/>
          <w:lang w:val="en-GB"/>
        </w:rPr>
      </w:pPr>
      <w:r>
        <w:rPr>
          <w:rFonts w:ascii="Arial" w:hAnsi="Arial" w:cs="Arial"/>
          <w:b/>
          <w:lang w:val="en-GB"/>
        </w:rPr>
        <w:t>AIDA Climate Change WP 26 May 2011</w:t>
      </w:r>
    </w:p>
    <w:p w:rsidR="00E91F4A" w:rsidRDefault="00E91F4A" w:rsidP="00BC484E">
      <w:pPr>
        <w:rPr>
          <w:rFonts w:ascii="Arial" w:hAnsi="Arial" w:cs="Arial"/>
          <w:lang w:val="en-GB"/>
        </w:rPr>
      </w:pPr>
    </w:p>
    <w:p w:rsidR="00E91F4A" w:rsidRDefault="00E91F4A" w:rsidP="00BC484E">
      <w:pPr>
        <w:rPr>
          <w:rFonts w:ascii="Arial" w:hAnsi="Arial" w:cs="Arial"/>
          <w:u w:val="single"/>
          <w:lang w:val="en-GB"/>
        </w:rPr>
      </w:pPr>
      <w:r>
        <w:rPr>
          <w:rFonts w:ascii="Arial" w:hAnsi="Arial" w:cs="Arial"/>
          <w:u w:val="single"/>
          <w:lang w:val="en-GB"/>
        </w:rPr>
        <w:t>New Products, developments since May 2010</w:t>
      </w:r>
    </w:p>
    <w:p w:rsidR="00E91F4A" w:rsidRDefault="00E91F4A" w:rsidP="00BC484E">
      <w:pPr>
        <w:rPr>
          <w:rFonts w:ascii="Arial" w:hAnsi="Arial" w:cs="Arial"/>
          <w:lang w:val="en-GB"/>
        </w:rPr>
      </w:pPr>
    </w:p>
    <w:p w:rsidR="00E91F4A" w:rsidRDefault="00E91F4A" w:rsidP="00BC484E">
      <w:pPr>
        <w:rPr>
          <w:rFonts w:ascii="Arial" w:hAnsi="Arial" w:cs="Arial"/>
          <w:lang w:val="en-GB"/>
        </w:rPr>
      </w:pPr>
      <w:r>
        <w:rPr>
          <w:rFonts w:ascii="Arial" w:hAnsi="Arial" w:cs="Arial"/>
          <w:lang w:val="en-GB"/>
        </w:rPr>
        <w:t>Søren Theilgaard expressed disappointment that there had been very little development during the past two years. A likely explanation was the financial crises that had been hard on investments.</w:t>
      </w:r>
    </w:p>
    <w:p w:rsidR="00E91F4A" w:rsidRDefault="00E91F4A" w:rsidP="00BC484E">
      <w:pPr>
        <w:rPr>
          <w:rFonts w:ascii="Arial" w:hAnsi="Arial" w:cs="Arial"/>
          <w:lang w:val="en-GB"/>
        </w:rPr>
      </w:pPr>
    </w:p>
    <w:p w:rsidR="00E91F4A" w:rsidRDefault="00E91F4A" w:rsidP="00BC484E">
      <w:pPr>
        <w:rPr>
          <w:rFonts w:ascii="Arial" w:hAnsi="Arial" w:cs="Arial"/>
          <w:lang w:val="en-GB"/>
        </w:rPr>
      </w:pPr>
      <w:r>
        <w:rPr>
          <w:rFonts w:ascii="Arial" w:hAnsi="Arial" w:cs="Arial"/>
          <w:lang w:val="en-GB"/>
        </w:rPr>
        <w:t>One experience in Denmark had been a general reluctance to accept land based windmills since very few people wanted them as neighbours. To mitigate this challenge a law was passed at the end of 2008 to support the advancement of renewable energy. According to the Act no. 1396/208, a neighbour is that entitled to ask for compensation from the owner of a new land based windmill construction when that windmill affects the value of nearby property negatively. Lawyers now debate whether that also allows old windmill owners to ask for compensation because they face increased competition from the new windmills.</w:t>
      </w:r>
    </w:p>
    <w:p w:rsidR="00E91F4A" w:rsidRDefault="00E91F4A" w:rsidP="00BC484E">
      <w:pPr>
        <w:rPr>
          <w:rFonts w:ascii="Arial" w:hAnsi="Arial" w:cs="Arial"/>
          <w:lang w:val="en-GB"/>
        </w:rPr>
      </w:pPr>
    </w:p>
    <w:p w:rsidR="00E91F4A" w:rsidRDefault="00E91F4A" w:rsidP="00BC484E">
      <w:pPr>
        <w:rPr>
          <w:rFonts w:ascii="Arial" w:hAnsi="Arial" w:cs="Arial"/>
          <w:lang w:val="en-GB"/>
        </w:rPr>
      </w:pPr>
      <w:r>
        <w:rPr>
          <w:rFonts w:ascii="Arial" w:hAnsi="Arial" w:cs="Arial"/>
          <w:lang w:val="en-GB"/>
        </w:rPr>
        <w:t>As a result of this general tendency investors had almost given up on land based windmills and instead invested in windmill parks at sea although the investment cost was 3 times higher than land based wind mills. The pay back time then depends even more on government subsidies and at the moment Denmark is debating the new general energy plan in light of future international goals. Until those regulations are in place investors hold back their investments.</w:t>
      </w:r>
    </w:p>
    <w:p w:rsidR="00E91F4A" w:rsidRDefault="00E91F4A" w:rsidP="00BC484E">
      <w:pPr>
        <w:rPr>
          <w:rFonts w:ascii="Arial" w:hAnsi="Arial" w:cs="Arial"/>
          <w:lang w:val="en-GB"/>
        </w:rPr>
      </w:pPr>
    </w:p>
    <w:p w:rsidR="00E91F4A" w:rsidRDefault="00E91F4A" w:rsidP="00BC484E">
      <w:pPr>
        <w:rPr>
          <w:rFonts w:ascii="Arial" w:hAnsi="Arial" w:cs="Arial"/>
          <w:lang w:val="en-GB"/>
        </w:rPr>
      </w:pPr>
      <w:r>
        <w:rPr>
          <w:rFonts w:ascii="Arial" w:hAnsi="Arial" w:cs="Arial"/>
          <w:lang w:val="en-GB"/>
        </w:rPr>
        <w:t>Regarding traditional insurance products such as property damage, machinery break down and cargo the insurers had seen very high claims rates mainly due to the financial difficulties. Many projects were abandoned or delayed although production or even deliveries had started. This meant that parts were sitting on stock or en route for extended periods and were damaged in the process.</w:t>
      </w:r>
    </w:p>
    <w:p w:rsidR="00E91F4A" w:rsidRDefault="00E91F4A" w:rsidP="00BC484E">
      <w:pPr>
        <w:rPr>
          <w:rFonts w:ascii="Arial" w:hAnsi="Arial" w:cs="Arial"/>
          <w:lang w:val="en-GB"/>
        </w:rPr>
      </w:pPr>
    </w:p>
    <w:p w:rsidR="00E91F4A" w:rsidRDefault="00E91F4A" w:rsidP="00BC484E">
      <w:pPr>
        <w:rPr>
          <w:rFonts w:ascii="Arial" w:hAnsi="Arial" w:cs="Arial"/>
          <w:lang w:val="en-GB"/>
        </w:rPr>
      </w:pPr>
      <w:r>
        <w:rPr>
          <w:rFonts w:ascii="Arial" w:hAnsi="Arial" w:cs="Arial"/>
          <w:lang w:val="en-GB"/>
        </w:rPr>
        <w:t>As for new insurance products Chartis had announced on 18</w:t>
      </w:r>
      <w:r>
        <w:rPr>
          <w:rFonts w:ascii="Arial" w:hAnsi="Arial" w:cs="Arial"/>
          <w:vertAlign w:val="superscript"/>
          <w:lang w:val="en-GB"/>
        </w:rPr>
        <w:t>th</w:t>
      </w:r>
      <w:r>
        <w:rPr>
          <w:rFonts w:ascii="Arial" w:hAnsi="Arial" w:cs="Arial"/>
          <w:lang w:val="en-GB"/>
        </w:rPr>
        <w:t xml:space="preserve"> May 2011 the launch of a new product that insured the value of government subsidies to renewable energy. The product was linked to Sect. 48 of the US Internal Revenue Code (IRC) and protected the owner / investor who for some reason did not meet the requirements for the subsidies during the first 5 years’ lifetime of the renewable energy property and for that reason had to return the value of the subsidy. The policy would also offer a PI cover for a manager of the installation who had undertaken to manage the installation in accordance with the required rules where errors or omissions caused failure to do so. Similar products might be introduced elsewhere in the world to cater for protection of similar government subsidies.</w:t>
      </w:r>
    </w:p>
    <w:p w:rsidR="00E91F4A" w:rsidRDefault="00E91F4A" w:rsidP="00BC484E">
      <w:pPr>
        <w:rPr>
          <w:rFonts w:ascii="Arial" w:hAnsi="Arial" w:cs="Arial"/>
          <w:lang w:val="en-GB"/>
        </w:rPr>
      </w:pPr>
    </w:p>
    <w:p w:rsidR="00E91F4A" w:rsidRDefault="00E91F4A" w:rsidP="00BC484E">
      <w:pPr>
        <w:rPr>
          <w:rFonts w:ascii="Arial" w:hAnsi="Arial" w:cs="Arial"/>
          <w:lang w:val="en-GB"/>
        </w:rPr>
      </w:pPr>
      <w:r>
        <w:rPr>
          <w:rFonts w:ascii="Arial" w:hAnsi="Arial" w:cs="Arial"/>
          <w:lang w:val="en-GB"/>
        </w:rPr>
        <w:t>This kind of insurance product supported a comments made at the conference in Paris in 2010 where it was emphasized that investors required financial support behind the viability of the project for the pay back time for a renewable energy product. Insurance products could offer that security. The challenge for this product as well as for other new products was the lack of claims history.</w:t>
      </w:r>
    </w:p>
    <w:p w:rsidR="00E91F4A" w:rsidRDefault="00E91F4A" w:rsidP="00BC484E">
      <w:pPr>
        <w:rPr>
          <w:rFonts w:ascii="Arial" w:hAnsi="Arial" w:cs="Arial"/>
          <w:lang w:val="en-GB"/>
        </w:rPr>
      </w:pPr>
    </w:p>
    <w:p w:rsidR="00E91F4A" w:rsidRDefault="00E91F4A" w:rsidP="00BC484E">
      <w:pPr>
        <w:rPr>
          <w:rFonts w:ascii="Arial" w:hAnsi="Arial" w:cs="Arial"/>
          <w:lang w:val="en-GB"/>
        </w:rPr>
      </w:pPr>
      <w:r>
        <w:rPr>
          <w:rFonts w:ascii="Arial" w:hAnsi="Arial" w:cs="Arial"/>
          <w:lang w:val="en-GB"/>
        </w:rPr>
        <w:t>That, of course would be overcome in time.</w:t>
      </w:r>
    </w:p>
    <w:p w:rsidR="00E91F4A" w:rsidRDefault="00E91F4A" w:rsidP="00BC484E">
      <w:pPr>
        <w:rPr>
          <w:rFonts w:ascii="Arial" w:hAnsi="Arial" w:cs="Arial"/>
          <w:lang w:val="en-GB"/>
        </w:rPr>
      </w:pPr>
    </w:p>
    <w:p w:rsidR="00E91F4A" w:rsidRDefault="00E91F4A" w:rsidP="00BC484E">
      <w:pPr>
        <w:rPr>
          <w:rFonts w:ascii="Arial" w:hAnsi="Arial" w:cs="Arial"/>
          <w:lang w:val="en-GB"/>
        </w:rPr>
      </w:pPr>
      <w:r>
        <w:rPr>
          <w:rFonts w:ascii="Arial" w:hAnsi="Arial" w:cs="Arial"/>
          <w:lang w:val="en-GB"/>
        </w:rPr>
        <w:t>Thank you.</w:t>
      </w:r>
    </w:p>
    <w:p w:rsidR="00E91F4A" w:rsidRDefault="00E91F4A" w:rsidP="00BC484E">
      <w:pPr>
        <w:rPr>
          <w:rFonts w:ascii="Arial" w:hAnsi="Arial" w:cs="Arial"/>
          <w:lang w:val="en-GB"/>
        </w:rPr>
      </w:pPr>
    </w:p>
    <w:p w:rsidR="00E91F4A" w:rsidRDefault="00E91F4A" w:rsidP="00BC484E">
      <w:pPr>
        <w:rPr>
          <w:rFonts w:ascii="Arial" w:hAnsi="Arial" w:cs="Arial"/>
          <w:i/>
          <w:lang w:val="en-GB"/>
        </w:rPr>
      </w:pPr>
      <w:r>
        <w:rPr>
          <w:rFonts w:ascii="Arial" w:hAnsi="Arial" w:cs="Arial"/>
          <w:i/>
          <w:lang w:val="en-GB"/>
        </w:rPr>
        <w:t>Søren Theilgaard</w:t>
      </w:r>
    </w:p>
    <w:p w:rsidR="00E91F4A" w:rsidRDefault="00E91F4A"/>
    <w:sectPr w:rsidR="00E91F4A" w:rsidSect="00FE6E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484E"/>
    <w:rsid w:val="00092EF3"/>
    <w:rsid w:val="00094E5D"/>
    <w:rsid w:val="00315779"/>
    <w:rsid w:val="00414EBD"/>
    <w:rsid w:val="00473D18"/>
    <w:rsid w:val="006E012E"/>
    <w:rsid w:val="007839D1"/>
    <w:rsid w:val="00801A83"/>
    <w:rsid w:val="008042D9"/>
    <w:rsid w:val="00921BA4"/>
    <w:rsid w:val="00A023CF"/>
    <w:rsid w:val="00BC484E"/>
    <w:rsid w:val="00C6077E"/>
    <w:rsid w:val="00E91F4A"/>
    <w:rsid w:val="00FE6E7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4E"/>
    <w:rPr>
      <w:lang w:val="da-DK"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4242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456</Words>
  <Characters>2602</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Søren Theilgaard, Head of Legal Scandinavia, Chartis Europe</dc:title>
  <dc:subject/>
  <dc:creator>Tim Hardy</dc:creator>
  <cp:keywords/>
  <dc:description/>
  <cp:lastModifiedBy>BLG</cp:lastModifiedBy>
  <cp:revision>2</cp:revision>
  <dcterms:created xsi:type="dcterms:W3CDTF">2011-07-11T18:07:00Z</dcterms:created>
  <dcterms:modified xsi:type="dcterms:W3CDTF">2011-07-11T18:07:00Z</dcterms:modified>
</cp:coreProperties>
</file>